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Accountant</w:t>
      </w:r>
      <w:r>
        <w:t xml:space="preserve"> </w:t>
      </w:r>
      <w:r>
        <w:t xml:space="preserve">Services</w:t>
      </w:r>
    </w:p>
    <w:bookmarkStart w:id="27" w:name="X119423ca0b61f2f7e961b1cb1cfd5ce422e9e34"/>
    <w:p>
      <w:pPr>
        <w:pStyle w:val="Heading1"/>
      </w:pPr>
      <w:r>
        <w:t xml:space="preserve">Comprehensive Sales Report: Accountant Services Performance Analysis -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KL Financial Solutions Sdn Bhd</w:t>
      </w:r>
      <w:r>
        <w:br/>
      </w:r>
      <w:r>
        <w:rPr>
          <w:bCs/>
          <w:b/>
        </w:rPr>
        <w:t xml:space="preserve">Prepared By:</w:t>
      </w:r>
      <w:r>
        <w:t xml:space="preserve"> </w:t>
      </w:r>
      <w:r>
        <w:t xml:space="preserve">Accounting &amp; Sales Analytics Department</w:t>
      </w:r>
    </w:p>
    <w:bookmarkStart w:id="20" w:name="i.-executive-summary"/>
    <w:p>
      <w:pPr>
        <w:pStyle w:val="Heading2"/>
      </w:pPr>
      <w:r>
        <w:t xml:space="preserve">I. Executive Summary</w:t>
      </w:r>
    </w:p>
    <w:p>
      <w:pPr>
        <w:pStyle w:val="FirstParagraph"/>
      </w:pPr>
      <w:r>
        <w:t xml:space="preserve">This Sales Report provides an in-depth analysis of accountant services performance across the Kuala Lumpur market for Q3 2023. As a leading accounting firm operating within Malaysia's regulatory framework, KL Financial Solutions has achieved a 14.7% year-on-year growth in client acquisitions, with Kuala Lumpur accounting for 78% of total revenue. This report underscores how our Accountant team's strategic sales approach has capitalized on Malaysia's evolving financial compliance landscape, particularly in the dynamic Kuala Lumpur business ecosystem. The findings confirm that integrating accountant expertise with targeted sales methodologies is critical for sustainable growth in Malaysia's competitive capital city market.</w:t>
      </w:r>
    </w:p>
    <w:bookmarkEnd w:id="20"/>
    <w:bookmarkStart w:id="21" w:name="ii.-sales-performance-overview"/>
    <w:p>
      <w:pPr>
        <w:pStyle w:val="Heading2"/>
      </w:pPr>
      <w:r>
        <w:t xml:space="preserve">II. Sales Performance Overview</w:t>
      </w:r>
    </w:p>
    <w:p>
      <w:pPr>
        <w:pStyle w:val="FirstParagraph"/>
      </w:pPr>
      <w:r>
        <w:t xml:space="preserve">In Q3 2023, our Accountant services generated RM 4.85 million in revenue within Kuala Lumpur, representing a 19% increase from Q3 2022. This growth was driven by three key segments:</w:t>
      </w:r>
    </w:p>
    <w:p>
      <w:pPr>
        <w:numPr>
          <w:ilvl w:val="0"/>
          <w:numId w:val="1001"/>
        </w:numPr>
        <w:pStyle w:val="Compact"/>
      </w:pPr>
      <w:r>
        <w:rPr>
          <w:bCs/>
          <w:b/>
        </w:rPr>
        <w:t xml:space="preserve">Corporate Tax Services:</w:t>
      </w:r>
      <w:r>
        <w:t xml:space="preserve"> </w:t>
      </w:r>
      <w:r>
        <w:t xml:space="preserve">+23% YoY (RM 1.98M) – Dominated by KL-based multinational corporations navigating MYR currency fluctuations</w:t>
      </w:r>
    </w:p>
    <w:p>
      <w:pPr>
        <w:numPr>
          <w:ilvl w:val="0"/>
          <w:numId w:val="1001"/>
        </w:numPr>
        <w:pStyle w:val="Compact"/>
      </w:pPr>
      <w:r>
        <w:rPr>
          <w:bCs/>
          <w:b/>
        </w:rPr>
        <w:t xml:space="preserve">Small Business Compliance Package:</w:t>
      </w:r>
      <w:r>
        <w:t xml:space="preserve"> </w:t>
      </w:r>
      <w:r>
        <w:t xml:space="preserve">+15% YoY (RM 1.72M) – Targeted at Kampung Baru and Petaling Jaya SMEs requiring SSM registration support</w:t>
      </w:r>
    </w:p>
    <w:p>
      <w:pPr>
        <w:pStyle w:val="FirstParagraph"/>
      </w:pPr>
      <w:r>
        <w:t xml:space="preserve">The Sales Report reveals that 62% of new clients in Malaysia Kuala Lumpur were acquired through our Accountant-led sales team, demonstrating the strategic value of technical expertise in closing deals. Notably, client retention rates reached 89% – significantly higher than the industry average of 75%, directly attributed to our Accountant's proactive financial health assessments during onboarding.</w:t>
      </w:r>
    </w:p>
    <w:bookmarkEnd w:id="21"/>
    <w:bookmarkStart w:id="22" w:name="Xadc42285fbf91f6c7bafc8f8355ab5788d2d933"/>
    <w:p>
      <w:pPr>
        <w:pStyle w:val="Heading2"/>
      </w:pPr>
      <w:r>
        <w:t xml:space="preserve">III. Accountant-Driven Sales Strategy Analysis</w:t>
      </w:r>
    </w:p>
    <w:p>
      <w:pPr>
        <w:pStyle w:val="FirstParagraph"/>
      </w:pPr>
      <w:r>
        <w:t xml:space="preserve">Our unique Sales Report methodology integrates accountant expertise at every sales touchpoint:</w:t>
      </w:r>
    </w:p>
    <w:p>
      <w:pPr>
        <w:numPr>
          <w:ilvl w:val="0"/>
          <w:numId w:val="1002"/>
        </w:numPr>
        <w:pStyle w:val="Compact"/>
      </w:pPr>
      <w:r>
        <w:rPr>
          <w:bCs/>
          <w:b/>
        </w:rPr>
        <w:t xml:space="preserve">Needs Assessment Phase:</w:t>
      </w:r>
      <w:r>
        <w:t xml:space="preserve"> </w:t>
      </w:r>
      <w:r>
        <w:t xml:space="preserve">Certified Accountants conduct initial financial diagnostics, identifying compliance gaps (e.g., SST registration for KL-based retailers). This transforms sales from transactional to consultative.</w:t>
      </w:r>
    </w:p>
    <w:p>
      <w:pPr>
        <w:numPr>
          <w:ilvl w:val="0"/>
          <w:numId w:val="1002"/>
        </w:numPr>
        <w:pStyle w:val="Compact"/>
      </w:pPr>
      <w:r>
        <w:rPr>
          <w:bCs/>
          <w:b/>
        </w:rPr>
        <w:t xml:space="preserve">Pricing Strategy:</w:t>
      </w:r>
      <w:r>
        <w:t xml:space="preserve"> </w:t>
      </w:r>
      <w:r>
        <w:t xml:space="preserve">Accountant input ensures pricing aligns with Malaysia's tax rates and SSM requirements. For example, our Kuala Lumpur SME packages now include GST filing – a direct response to new MOF regulations.</w:t>
      </w:r>
    </w:p>
    <w:p>
      <w:pPr>
        <w:numPr>
          <w:ilvl w:val="0"/>
          <w:numId w:val="1002"/>
        </w:numPr>
        <w:pStyle w:val="Compact"/>
      </w:pPr>
      <w:r>
        <w:rPr>
          <w:bCs/>
          <w:b/>
        </w:rPr>
        <w:t xml:space="preserve">Cross-Selling Efficiency:</w:t>
      </w:r>
      <w:r>
        <w:t xml:space="preserve"> </w:t>
      </w:r>
      <w:r>
        <w:t xml:space="preserve">Accountants identified that 43% of payroll clients also require corporate tax services, enabling us to increase average revenue per client by RM 1,850 quarterly.</w:t>
      </w:r>
    </w:p>
    <w:p>
      <w:pPr>
        <w:pStyle w:val="FirstParagraph"/>
      </w:pPr>
      <w:r>
        <w:t xml:space="preserve">This integrated approach has reduced sales cycle duration by 28% in Malaysia Kuala Lumpur. The Sales Report analysis shows that when Accountants lead client discovery sessions, conversion rates improve by 37% compared to standard sales pitches.</w:t>
      </w:r>
    </w:p>
    <w:bookmarkEnd w:id="22"/>
    <w:bookmarkStart w:id="23" w:name="X898aded0d2ccadcdece9296d0dcb3fc67a3b4bd"/>
    <w:p>
      <w:pPr>
        <w:pStyle w:val="Heading2"/>
      </w:pPr>
      <w:r>
        <w:t xml:space="preserve">IV. Kuala Lumpur Market Dynamics &amp; Challenges</w:t>
      </w:r>
    </w:p>
    <w:p>
      <w:pPr>
        <w:pStyle w:val="FirstParagraph"/>
      </w:pPr>
      <w:r>
        <w:t xml:space="preserve">The Malaysian market presents unique opportunities and challenges specific to Kuala Lumpur:</w:t>
      </w:r>
    </w:p>
    <w:p>
      <w:pPr>
        <w:numPr>
          <w:ilvl w:val="0"/>
          <w:numId w:val="1003"/>
        </w:numPr>
        <w:pStyle w:val="Compact"/>
      </w:pPr>
      <w:r>
        <w:rPr>
          <w:bCs/>
          <w:b/>
        </w:rPr>
        <w:t xml:space="preserve">Regulatory Shifts:</w:t>
      </w:r>
      <w:r>
        <w:t xml:space="preserve"> </w:t>
      </w:r>
      <w:r>
        <w:t xml:space="preserve">New Companies Act 2016 amendments require real-time financial disclosures – a key selling point our Accountant team leverages during sales calls with KL-based startups.</w:t>
      </w:r>
    </w:p>
    <w:p>
      <w:pPr>
        <w:numPr>
          <w:ilvl w:val="0"/>
          <w:numId w:val="1003"/>
        </w:numPr>
        <w:pStyle w:val="Compact"/>
      </w:pPr>
      <w:r>
        <w:rPr>
          <w:bCs/>
          <w:b/>
        </w:rPr>
        <w:t xml:space="preserve">Competitive Landscape:</w:t>
      </w:r>
      <w:r>
        <w:t xml:space="preserve"> </w:t>
      </w:r>
      <w:r>
        <w:t xml:space="preserve">17% of KL competitors offer cheaper but less compliant services, making our Accountant's adherence to MIA standards a decisive differentiator.</w:t>
      </w:r>
    </w:p>
    <w:p>
      <w:pPr>
        <w:numPr>
          <w:ilvl w:val="0"/>
          <w:numId w:val="1003"/>
        </w:numPr>
        <w:pStyle w:val="Compact"/>
      </w:pPr>
      <w:r>
        <w:rPr>
          <w:bCs/>
          <w:b/>
        </w:rPr>
        <w:t xml:space="preserve">Economic Factors:</w:t>
      </w:r>
      <w:r>
        <w:t xml:space="preserve"> </w:t>
      </w:r>
      <w:r>
        <w:t xml:space="preserve">Inflation impacting SMEs led to demand for cash flow optimization – directly addressed through Accountant-designed sales packages with flexible payment terms.</w:t>
      </w:r>
    </w:p>
    <w:p>
      <w:pPr>
        <w:pStyle w:val="FirstParagraph"/>
      </w:pPr>
      <w:r>
        <w:t xml:space="preserve">The Sales Report highlights that 68% of Kuala Lumpur clients specifically cited our Accountant's industry knowledge as their primary selection criterion, particularly regarding tax implications of KL's new digital economy initiatives (e.g., MYDIGITAL).</w:t>
      </w:r>
    </w:p>
    <w:bookmarkEnd w:id="23"/>
    <w:bookmarkStart w:id="24" w:name="v.-strategic-recommendations"/>
    <w:p>
      <w:pPr>
        <w:pStyle w:val="Heading2"/>
      </w:pPr>
      <w:r>
        <w:t xml:space="preserve">V. Strategic Recommendations</w:t>
      </w:r>
    </w:p>
    <w:p>
      <w:pPr>
        <w:pStyle w:val="FirstParagraph"/>
      </w:pPr>
      <w:r>
        <w:t xml:space="preserve">Based on this Sales Report analysis, we recommend three actions to strengthen our position in Malaysia Kuala Lumpur:</w:t>
      </w:r>
    </w:p>
    <w:p>
      <w:pPr>
        <w:numPr>
          <w:ilvl w:val="0"/>
          <w:numId w:val="1004"/>
        </w:numPr>
        <w:pStyle w:val="Compact"/>
      </w:pPr>
      <w:r>
        <w:rPr>
          <w:bCs/>
          <w:b/>
        </w:rPr>
        <w:t xml:space="preserve">AI-Powered Financial Forecasting Tool:</w:t>
      </w:r>
      <w:r>
        <w:t xml:space="preserve"> </w:t>
      </w:r>
      <w:r>
        <w:t xml:space="preserve">Develop a KL-specific sales module using accountant data analytics to predict client needs during economic volatility (e.g., predicting retail sector cash flow gaps before GST changes).</w:t>
      </w:r>
    </w:p>
    <w:p>
      <w:pPr>
        <w:numPr>
          <w:ilvl w:val="0"/>
          <w:numId w:val="1004"/>
        </w:numPr>
        <w:pStyle w:val="Compact"/>
      </w:pPr>
      <w:r>
        <w:rPr>
          <w:bCs/>
          <w:b/>
        </w:rPr>
        <w:t xml:space="preserve">Kuala Lumpur Industry Specialization:</w:t>
      </w:r>
      <w:r>
        <w:t xml:space="preserve"> </w:t>
      </w:r>
      <w:r>
        <w:t xml:space="preserve">Create dedicated Accountant teams for key KL sectors – Property (Petaling Jaya), Tech (Cyberjaya), and Tourism (Bukit Bintang) – with tailored sales materials reflecting sector-specific compliance needs.</w:t>
      </w:r>
    </w:p>
    <w:p>
      <w:pPr>
        <w:numPr>
          <w:ilvl w:val="0"/>
          <w:numId w:val="1004"/>
        </w:numPr>
        <w:pStyle w:val="Compact"/>
      </w:pPr>
      <w:r>
        <w:rPr>
          <w:bCs/>
          <w:b/>
        </w:rPr>
        <w:t xml:space="preserve">Regulatory Partnership Program:</w:t>
      </w:r>
      <w:r>
        <w:t xml:space="preserve"> </w:t>
      </w:r>
      <w:r>
        <w:t xml:space="preserve">Collaborate with MIDA and SSM to co-host quarterly "Compliance Clinics" across Kuala Lumpur, positioning our Accountant as industry authorities while generating qualified leads.</w:t>
      </w:r>
    </w:p>
    <w:bookmarkEnd w:id="24"/>
    <w:bookmarkStart w:id="26" w:name="vi.-conclusion"/>
    <w:p>
      <w:pPr>
        <w:pStyle w:val="Heading2"/>
      </w:pPr>
      <w:r>
        <w:t xml:space="preserve">VI. Conclusion</w:t>
      </w:r>
    </w:p>
    <w:p>
      <w:pPr>
        <w:pStyle w:val="FirstParagraph"/>
      </w:pPr>
      <w:r>
        <w:t xml:space="preserve">This comprehensive Sales Report confirms that the convergence of accountant expertise and strategic sales execution is the cornerstone of success in Malaysia's Kuala Lumpur market. Our Accountant team has not merely processed transactions but actively shaped sales narratives around financial compliance – turning regulatory requirements into growth opportunities. As we navigate 2024, maintaining this integrated approach will be vital for sustaining our leadership position among Malaysia's accounting service providers.</w:t>
      </w:r>
    </w:p>
    <w:p>
      <w:pPr>
        <w:pStyle w:val="BodyText"/>
      </w:pPr>
      <w:r>
        <w:t xml:space="preserve">With Kuala Lumpur serving as Malaysia's financial nerve center and the Accountant now recognized as a strategic sales asset (not just a service provider), we project 18% annual growth in KL revenue through targeted implementation of these recommendations. The data is clear: in Malaysia Kuala Lumpur, where regulatory complexity meets entrepreneurial ambition, the Accountant-led Sales Report isn't just useful – it's indispensable for market dominance.</w:t>
      </w:r>
    </w:p>
    <w:p>
      <w:pPr>
        <w:pStyle w:val="BodyText"/>
      </w:pPr>
      <w:r>
        <w:rPr>
          <w:iCs/>
          <w:i/>
        </w:rPr>
        <w:t xml:space="preserve">Disclaimer: All figures based on KL Financial Solutions internal sales data (Q1-Q3 2023), compliant with MIA standards and Malaysian Financial Reporting Standards.</w:t>
      </w:r>
    </w:p>
    <w:bookmarkStart w:id="25" w:name="Xec25bab4c016a63ad55739c00a772ed7bd7d6b3"/>
    <w:p>
      <w:pPr>
        <w:pStyle w:val="Heading3"/>
      </w:pPr>
      <w:r>
        <w:t xml:space="preserve">APPENDIX: Key Performance Metrics (Malaysia Kuala Lumpur)</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(KL)</w:t>
      </w:r>
    </w:p>
    <w:p>
      <w:pPr>
        <w:pStyle w:val="BodyText"/>
      </w:pPr>
      <w:r>
        <w:t xml:space="preserve">RM 4,850,000</w:t>
      </w:r>
    </w:p>
    <w:p>
      <w:pPr>
        <w:pStyle w:val="BodyText"/>
      </w:pPr>
      <w:r>
        <w:t xml:space="preserve">RM 4,167,500</w:t>
      </w:r>
    </w:p>
    <w:p>
      <w:pPr>
        <w:pStyle w:val="BodyText"/>
      </w:pPr>
      <w:r>
        <w:t xml:space="preserve">+19.2%</w:t>
      </w:r>
    </w:p>
    <w:p>
      <w:pPr>
        <w:pStyle w:val="BodyText"/>
      </w:pPr>
      <w:r>
        <w:t xml:space="preserve">New Client Acquisition Rate</w:t>
      </w:r>
    </w:p>
    <w:p>
      <w:pPr>
        <w:pStyle w:val="BodyText"/>
      </w:pPr>
      <w:r>
        <w:t xml:space="preserve">43% (KL)</w:t>
      </w:r>
    </w:p>
    <w:p>
      <w:pPr>
        <w:pStyle w:val="BodyText"/>
      </w:pPr>
      <w:r>
        <w:t xml:space="preserve">36% (KL)</w:t>
      </w:r>
    </w:p>
    <w:p>
      <w:pPr>
        <w:pStyle w:val="BodyText"/>
      </w:pPr>
      <w:r>
        <w:rPr>
          <w:bCs/>
          <w:b/>
        </w:rPr>
        <w:t xml:space="preserve">+7 pts</w:t>
      </w:r>
    </w:p>
    <w:p>
      <w:pPr>
        <w:pStyle w:val="BodyText"/>
      </w:pPr>
      <w:r>
        <w:t xml:space="preserve">Average Revenue Per Client</w:t>
      </w:r>
    </w:p>
    <w:p>
      <w:pPr>
        <w:pStyle w:val="BodyText"/>
      </w:pPr>
      <w:r>
        <w:t xml:space="preserve">RM 2,150/month</w:t>
      </w:r>
    </w:p>
    <w:p>
      <w:pPr>
        <w:pStyle w:val="BodyText"/>
      </w:pPr>
      <w:r>
        <w:t xml:space="preserve">RM 1,850/month</w:t>
      </w:r>
    </w:p>
    <w:p>
      <w:pPr>
        <w:pStyle w:val="BodyText"/>
      </w:pPr>
      <w:r>
        <w:t xml:space="preserve">+16.2%</w:t>
      </w:r>
    </w:p>
    <w:p>
      <w:pPr>
        <w:pStyle w:val="BodyText"/>
      </w:pPr>
      <w:r>
        <w:t xml:space="preserve">Accountant-Driven Sales Conversion Rate</w:t>
      </w:r>
    </w:p>
    <w:p>
      <w:pPr>
        <w:pStyle w:val="BodyText"/>
      </w:pPr>
      <w:r>
        <w:t xml:space="preserve">67%</w:t>
      </w:r>
    </w:p>
    <w:p>
      <w:pPr>
        <w:pStyle w:val="BodyText"/>
      </w:pPr>
      <w:r>
        <w:t xml:space="preserve">49%</w:t>
      </w:r>
    </w:p>
    <w:p>
      <w:pPr>
        <w:pStyle w:val="BodyText"/>
      </w:pPr>
      <w:r>
        <w:t xml:space="preserve">+18 pts</w:t>
      </w:r>
    </w:p>
    <w:p>
      <w:pPr>
        <w:pStyle w:val="BodyText"/>
      </w:pPr>
      <w:r>
        <w:rPr>
          <w:iCs/>
          <w:i/>
        </w:rPr>
        <w:t xml:space="preserve">Note: All data pertains specifically to Malaysia Kuala Lumpur operations as of September 30,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Kuala Lumpur Accountant Services</dc:title>
  <dc:creator/>
  <dc:language>en</dc:language>
  <cp:keywords/>
  <dcterms:created xsi:type="dcterms:W3CDTF">2025-12-11T17:24:01Z</dcterms:created>
  <dcterms:modified xsi:type="dcterms:W3CDTF">2025-12-11T17:24:01Z</dcterms:modified>
</cp:coreProperties>
</file>

<file path=docProps/custom.xml><?xml version="1.0" encoding="utf-8"?>
<Properties xmlns="http://schemas.openxmlformats.org/officeDocument/2006/custom-properties" xmlns:vt="http://schemas.openxmlformats.org/officeDocument/2006/docPropsVTypes"/>
</file>