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w:t>
      </w:r>
      <w:r>
        <w:t xml:space="preserve"> </w:t>
      </w:r>
      <w:r>
        <w:t xml:space="preserve">Yangon,</w:t>
      </w:r>
      <w:r>
        <w:t xml:space="preserve"> </w:t>
      </w:r>
      <w:r>
        <w:t xml:space="preserve">Myanmar</w:t>
      </w:r>
    </w:p>
    <w:bookmarkStart w:id="32" w:name="X49d940a737a5d4c2f30b8f03f525ecc286e6d6b"/>
    <w:p>
      <w:pPr>
        <w:pStyle w:val="Heading1"/>
      </w:pPr>
      <w:r>
        <w:t xml:space="preserve">Sales Report: Accountant Services Performance - Yangon, Myanmar (Q3 2023)</w:t>
      </w:r>
    </w:p>
    <w:bookmarkStart w:id="20" w:name="executive-summary"/>
    <w:p>
      <w:pPr>
        <w:pStyle w:val="Heading2"/>
      </w:pPr>
      <w:r>
        <w:t xml:space="preserve">Executive Summary</w:t>
      </w:r>
    </w:p>
    <w:p>
      <w:pPr>
        <w:pStyle w:val="FirstParagraph"/>
      </w:pPr>
      <w:r>
        <w:t xml:space="preserve">This comprehensive Sales Report details the performance of our accountant services across Yangon, Myanmar's economic capital. The quarter (July-September 2023) demonstrated a 18.7% year-on-year growth in client acquisition, with particular strength in the manufacturing and retail sectors. As an accountant serving Yangon's dynamic business landscape, we have strategically navigated Myanmar's evolving financial regulations while meeting local market demands. Key highlights include successful onboarding of 42 new clients (a 25% increase from Q2), achieving a 93% client retention rate, and exceeding revenue targets by 11.3%. This report underscores the critical role of localized accountant expertise in Myanmar's commercial ecosystem.</w:t>
      </w:r>
    </w:p>
    <w:bookmarkEnd w:id="20"/>
    <w:bookmarkStart w:id="21" w:name="X324ea5420e549d83e9280d6dcdb26da588295d6"/>
    <w:p>
      <w:pPr>
        <w:pStyle w:val="Heading2"/>
      </w:pPr>
      <w:r>
        <w:t xml:space="preserve">Sales Performance Overview: Yangon Market Focus</w:t>
      </w:r>
    </w:p>
    <w:p>
      <w:pPr>
        <w:pStyle w:val="FirstParagraph"/>
      </w:pPr>
      <w:r>
        <w:t xml:space="preserve">Yangon's accounting market has shown remarkable resilience despite regional economic fluctuations. Our Q3 sales data reveals that 68% of new clients were SMEs operating in Yangon's core business zones (Bahan, Dagon Seikkan, and Sanchaung), with 32% from foreign-owned enterprises requiring compliance with Myanmar's latest Tax Law amendments. Notably, our accountant services have become essential for businesses navigating Myanmar's transition to digital tax systems (MyanTax), directly contributing to our sales growth.</w:t>
      </w:r>
    </w:p>
    <w:p>
      <w:pPr>
        <w:pStyle w:val="BodyText"/>
      </w:pPr>
      <w:r>
        <w:t xml:space="preserve">Key Metric</w:t>
      </w:r>
    </w:p>
    <w:bookmarkEnd w:id="21"/>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Client Acquisition (Yangon)</w:t>
      </w:r>
    </w:p>
    <w:p>
      <w:pPr>
        <w:pStyle w:val="BodyText"/>
      </w:pPr>
      <w:r>
        <w:t xml:space="preserve">42 clients</w:t>
      </w:r>
    </w:p>
    <w:p>
      <w:pPr>
        <w:pStyle w:val="BodyText"/>
      </w:pPr>
      <w:r>
        <w:t xml:space="preserve">34 clients</w:t>
      </w:r>
    </w:p>
    <w:p>
      <w:pPr>
        <w:pStyle w:val="BodyText"/>
      </w:pPr>
      <w:r>
        <w:t xml:space="preserve">+23.5%</w:t>
      </w:r>
    </w:p>
    <w:p>
      <w:pPr>
        <w:pStyle w:val="BodyText"/>
      </w:pPr>
      <w:r>
        <w:t xml:space="preserve">Total Revenue (Myanmar MMK)</w:t>
      </w:r>
    </w:p>
    <w:p>
      <w:pPr>
        <w:pStyle w:val="BodyText"/>
      </w:pPr>
      <w:r>
        <w:t xml:space="preserve">18,750,000</w:t>
      </w:r>
    </w:p>
    <w:p>
      <w:pPr>
        <w:pStyle w:val="BodyText"/>
      </w:pPr>
      <w:r>
        <w:t xml:space="preserve">16,950,000</w:t>
      </w:r>
    </w:p>
    <w:p>
      <w:pPr>
        <w:pStyle w:val="BodyText"/>
      </w:pPr>
      <w:r>
        <w:t xml:space="preserve">+10.6%</w:t>
      </w:r>
    </w:p>
    <w:p>
      <w:pPr>
        <w:pStyle w:val="BodyText"/>
      </w:pPr>
      <w:r>
        <w:t xml:space="preserve">Average Monthly Retention Rate</w:t>
      </w:r>
    </w:p>
    <w:p>
      <w:pPr>
        <w:pStyle w:val="BodyText"/>
      </w:pPr>
      <w:r>
        <w:t xml:space="preserve">93%</w:t>
      </w:r>
    </w:p>
    <w:p>
      <w:pPr>
        <w:pStyle w:val="BodyText"/>
      </w:pPr>
      <w:r>
        <w:t xml:space="preserve">Total Revenue Growth (Yangon)</w:t>
      </w:r>
    </w:p>
    <w:p>
      <w:pPr>
        <w:pStyle w:val="BodyText"/>
      </w:pPr>
      <w:r>
        <w:t xml:space="preserve">+18.7% YoY</w:t>
      </w:r>
    </w:p>
    <w:p>
      <w:pPr>
        <w:pStyle w:val="BodyText"/>
      </w:pPr>
      <w:r>
        <w:rPr>
          <w:bCs/>
          <w:b/>
        </w:rPr>
        <w:t xml:space="preserve">Yangon-Specific Insight:</w:t>
      </w:r>
      <w:r>
        <w:t xml:space="preserve"> </w:t>
      </w:r>
      <w:r>
        <w:t xml:space="preserve">76% of our sales growth originated from businesses in Yangon's expanding industrial corridors (e.g., Hlaing Tharyar Industrial Zone), where accountants are now considered strategic partners rather than compliance vendors. Our ability to provide real-time Myanmar currency (MMK) reporting aligned with Central Bank regulations directly influenced client acquisition.</w:t>
      </w:r>
    </w:p>
    <w:bookmarkStart w:id="25" w:name="X59c3aee12f7bc552bce5c4cb3e03552918dcafb"/>
    <w:p>
      <w:pPr>
        <w:pStyle w:val="Heading2"/>
      </w:pPr>
      <w:r>
        <w:t xml:space="preserve">Sector Analysis: Yangon Business Landscape</w:t>
      </w:r>
    </w:p>
    <w:p>
      <w:pPr>
        <w:pStyle w:val="FirstParagraph"/>
      </w:pPr>
      <w:r>
        <w:t xml:space="preserve">Our accountant services have achieved significant penetration in Yangon's top growth sectors. The report identifies three high-performing verticals:</w:t>
      </w:r>
    </w:p>
    <w:bookmarkStart w:id="22" w:name="retail-e-commerce-35-of-new-sales"/>
    <w:p>
      <w:pPr>
        <w:pStyle w:val="Heading3"/>
      </w:pPr>
      <w:r>
        <w:t xml:space="preserve">1. Retail &amp; E-Commerce (35% of New Sales)</w:t>
      </w:r>
    </w:p>
    <w:p>
      <w:pPr>
        <w:pStyle w:val="FirstParagraph"/>
      </w:pPr>
      <w:r>
        <w:t xml:space="preserve">Yangon's retail boom (notably in Thongwa and Mingaladon) created urgent demand for accountants specializing in digital sales tracking. Our Myanmar-compliant e-commerce accounting packages—integrated with local platforms like Wave, MPT, and KBZPay—generated 15 new clients this quarter. The average contract value increased by 22% as retailers adopted our inventory management add-ons.</w:t>
      </w:r>
    </w:p>
    <w:bookmarkEnd w:id="22"/>
    <w:bookmarkStart w:id="23" w:name="manufacturing-30-of-new-sales"/>
    <w:p>
      <w:pPr>
        <w:pStyle w:val="Heading3"/>
      </w:pPr>
      <w:r>
        <w:t xml:space="preserve">2. Manufacturing (30% of New Sales)</w:t>
      </w:r>
    </w:p>
    <w:p>
      <w:pPr>
        <w:pStyle w:val="FirstParagraph"/>
      </w:pPr>
      <w:r>
        <w:t xml:space="preserve">Yangon's manufacturing hubs (e.g., Thaketa, Dagon Seikkan) required accountant services for customs clearance and excise tax compliance under Myanmar's new export regulations. Our specialized package reduced client filing errors by 41%, directly driving sales in this segment. Notable wins include a major textile manufacturer expanding from 12 to 48 employees during Q3.</w:t>
      </w:r>
    </w:p>
    <w:bookmarkEnd w:id="23"/>
    <w:bookmarkStart w:id="24" w:name="Xb6754435378f4f14199670a63d6963748ebf58d"/>
    <w:p>
      <w:pPr>
        <w:pStyle w:val="Heading3"/>
      </w:pPr>
      <w:r>
        <w:t xml:space="preserve">3. Foreign-Owned Enterprises (25% of New Sales)</w:t>
      </w:r>
    </w:p>
    <w:p>
      <w:pPr>
        <w:pStyle w:val="FirstParagraph"/>
      </w:pPr>
      <w:r>
        <w:t xml:space="preserve">Yangon's foreign investor base grew 14% YoY, demanding accountants versed in both Myanmar GAAP and international standards. We secured contracts with 7 new Singaporean and Thai firms seeking to navigate Myanmar's complex foreign investment laws. Our accountant team's bilingual (English/Burmese) capabilities were a decisive factor in these wins.</w:t>
      </w:r>
    </w:p>
    <w:bookmarkEnd w:id="24"/>
    <w:bookmarkEnd w:id="25"/>
    <w:bookmarkStart w:id="26" w:name="X2e8f23c247abb5eaaee165f6ee9c230c5d7511b"/>
    <w:p>
      <w:pPr>
        <w:pStyle w:val="Heading2"/>
      </w:pPr>
      <w:r>
        <w:t xml:space="preserve">Challenges Faced by Accountants in Yangon</w:t>
      </w:r>
    </w:p>
    <w:p>
      <w:pPr>
        <w:pStyle w:val="FirstParagraph"/>
      </w:pPr>
      <w:r>
        <w:t xml:space="preserve">Despite strong sales, Yangon-based accountants face unique market barriers:</w:t>
      </w:r>
    </w:p>
    <w:p>
      <w:pPr>
        <w:numPr>
          <w:ilvl w:val="0"/>
          <w:numId w:val="1001"/>
        </w:numPr>
        <w:pStyle w:val="Compact"/>
      </w:pPr>
      <w:r>
        <w:rPr>
          <w:bCs/>
          <w:b/>
        </w:rPr>
        <w:t xml:space="preserve">Regulatory Fluidity:</w:t>
      </w:r>
      <w:r>
        <w:t xml:space="preserve"> </w:t>
      </w:r>
      <w:r>
        <w:t xml:space="preserve">Myanmar's tax authority (UHIT) issued 17 new circulars in Q3 alone. Our accountant team spent 28% of sales effort on client education about these changes, directly impacting sales cycle duration.</w:t>
      </w:r>
    </w:p>
    <w:p>
      <w:pPr>
        <w:numPr>
          <w:ilvl w:val="0"/>
          <w:numId w:val="1001"/>
        </w:numPr>
        <w:pStyle w:val="Compact"/>
      </w:pPr>
      <w:r>
        <w:rPr>
          <w:bCs/>
          <w:b/>
        </w:rPr>
        <w:t xml:space="preserve">Currency Volatility:</w:t>
      </w:r>
      <w:r>
        <w:t xml:space="preserve"> </w:t>
      </w:r>
      <w:r>
        <w:t xml:space="preserve">The MMK's 15% depreciation against USD in Q3 required our accountant services to include dynamic foreign exchange reporting—adding complexity to service delivery but enhancing perceived value.</w:t>
      </w:r>
    </w:p>
    <w:p>
      <w:pPr>
        <w:numPr>
          <w:ilvl w:val="0"/>
          <w:numId w:val="1001"/>
        </w:numPr>
        <w:pStyle w:val="Compact"/>
      </w:pPr>
      <w:r>
        <w:rPr>
          <w:bCs/>
          <w:b/>
        </w:rPr>
        <w:t xml:space="preserve">Talent Shortage:</w:t>
      </w:r>
      <w:r>
        <w:t xml:space="preserve"> </w:t>
      </w:r>
      <w:r>
        <w:t xml:space="preserve">Yangon faces a critical shortage of Burmese-speaking accountants with international certification. We've increased recruitment from Yangon University of Economics (YUE) by 40%, yet still experience 12-week onboarding delays for new hires.</w:t>
      </w:r>
    </w:p>
    <w:p>
      <w:pPr>
        <w:pStyle w:val="FirstParagraph"/>
      </w:pPr>
      <w:r>
        <w:rPr>
          <w:bCs/>
          <w:b/>
        </w:rPr>
        <w:t xml:space="preserve">Accountant Adaptation:</w:t>
      </w:r>
      <w:r>
        <w:t xml:space="preserve"> </w:t>
      </w:r>
      <w:r>
        <w:t xml:space="preserve">Our sales team now incorporates "Regulatory Agility" into client proposals—showing how our accountant's continuous compliance monitoring reduces risk. This approach directly increased conversion rates by 19% in Q3.</w:t>
      </w:r>
    </w:p>
    <w:bookmarkEnd w:id="26"/>
    <w:bookmarkStart w:id="30" w:name="X6970145b9a2ee83ff18c3c4c06a10cd04707bdf"/>
    <w:p>
      <w:pPr>
        <w:pStyle w:val="Heading2"/>
      </w:pPr>
      <w:r>
        <w:t xml:space="preserve">Growth Opportunities for Accountants in Yangon</w:t>
      </w:r>
    </w:p>
    <w:p>
      <w:pPr>
        <w:pStyle w:val="FirstParagraph"/>
      </w:pPr>
      <w:r>
        <w:t xml:space="preserve">Yangon presents three high-potential opportunities to expand accountant services:</w:t>
      </w:r>
    </w:p>
    <w:bookmarkStart w:id="27" w:name="digital-transformation-packages"/>
    <w:p>
      <w:pPr>
        <w:pStyle w:val="Heading3"/>
      </w:pPr>
      <w:r>
        <w:t xml:space="preserve">1. Digital Transformation Packages</w:t>
      </w:r>
    </w:p>
    <w:p>
      <w:pPr>
        <w:pStyle w:val="FirstParagraph"/>
      </w:pPr>
      <w:r>
        <w:t xml:space="preserve">89% of Yangon SMEs lack cloud accounting systems. We've developed a "MyanCloud Accountant" package (integrated with Myanmar's approved e-invoicing system) that achieved 27% sales conversion in pilot clients. This positions accountants as digital transformation partners.</w:t>
      </w:r>
    </w:p>
    <w:bookmarkEnd w:id="27"/>
    <w:bookmarkStart w:id="28" w:name="women-owned-business-support"/>
    <w:p>
      <w:pPr>
        <w:pStyle w:val="Heading3"/>
      </w:pPr>
      <w:r>
        <w:t xml:space="preserve">2. Women-Owned Business Support</w:t>
      </w:r>
    </w:p>
    <w:p>
      <w:pPr>
        <w:pStyle w:val="FirstParagraph"/>
      </w:pPr>
      <w:r>
        <w:t xml:space="preserve">Yangon's women-led SME sector grew by 18% in 2023 (World Bank). We launched a subsidized accountant package for women entrepreneurs, resulting in 9 new clients and positive brand impact. This aligns with Myanmar's national economic inclusion initiatives.</w:t>
      </w:r>
    </w:p>
    <w:bookmarkEnd w:id="28"/>
    <w:bookmarkStart w:id="29" w:name="cross-border-trade-advisory"/>
    <w:p>
      <w:pPr>
        <w:pStyle w:val="Heading3"/>
      </w:pPr>
      <w:r>
        <w:t xml:space="preserve">3. Cross-Border Trade Advisory</w:t>
      </w:r>
    </w:p>
    <w:p>
      <w:pPr>
        <w:pStyle w:val="FirstParagraph"/>
      </w:pPr>
      <w:r>
        <w:t xml:space="preserve">With Yangon as Myanmar's primary port city (Thilawa Port), accountants specializing in ASEAN trade agreements (ASEAN Free Trade Area) are in high demand. Our new service line generated $12,500 in revenue within two months of launch.</w:t>
      </w:r>
    </w:p>
    <w:bookmarkEnd w:id="29"/>
    <w:bookmarkEnd w:id="30"/>
    <w:bookmarkStart w:id="31" w:name="X9f2654c6d80d8b1f35ac00bf3cebb826f6afe47"/>
    <w:p>
      <w:pPr>
        <w:pStyle w:val="Heading2"/>
      </w:pPr>
      <w:r>
        <w:t xml:space="preserve">Strategic Recommendations for Yangon Accountants</w:t>
      </w:r>
    </w:p>
    <w:p>
      <w:pPr>
        <w:numPr>
          <w:ilvl w:val="0"/>
          <w:numId w:val="1002"/>
        </w:numPr>
        <w:pStyle w:val="Compact"/>
      </w:pPr>
      <w:r>
        <w:rPr>
          <w:bCs/>
          <w:b/>
        </w:rPr>
        <w:t xml:space="preserve">Invest in Myanmar-Specific Compliance Certifications:</w:t>
      </w:r>
      <w:r>
        <w:t xml:space="preserve"> </w:t>
      </w:r>
      <w:r>
        <w:t xml:space="preserve">Partner with Myanmar Accounting Association (MAA) to develop standardized training—addressing the 63% of clients who prioritize local regulatory expertise.</w:t>
      </w:r>
    </w:p>
    <w:p>
      <w:pPr>
        <w:numPr>
          <w:ilvl w:val="0"/>
          <w:numId w:val="1002"/>
        </w:numPr>
        <w:pStyle w:val="Compact"/>
      </w:pPr>
      <w:r>
        <w:rPr>
          <w:bCs/>
          <w:b/>
        </w:rPr>
        <w:t xml:space="preserve">Leverage Yangon's Tech Hubs:</w:t>
      </w:r>
      <w:r>
        <w:t xml:space="preserve"> </w:t>
      </w:r>
      <w:r>
        <w:t xml:space="preserve">Collaborate with co-working spaces (e.g., Makers Lab, The Hub Yangon) for client workshops on digital tax filing.</w:t>
      </w:r>
    </w:p>
    <w:p>
      <w:pPr>
        <w:numPr>
          <w:ilvl w:val="0"/>
          <w:numId w:val="1002"/>
        </w:numPr>
        <w:pStyle w:val="Compact"/>
      </w:pPr>
      <w:r>
        <w:rPr>
          <w:bCs/>
          <w:b/>
        </w:rPr>
        <w:t xml:space="preserve">Develop MMK-Valued Service Tiers:</w:t>
      </w:r>
      <w:r>
        <w:t xml:space="preserve"> </w:t>
      </w:r>
      <w:r>
        <w:t xml:space="preserve">Create entry-level packages under 500,000 MMK/month targeting micro-enterprises in Yangon's growing neighborhood markets (e.g., Bahan, Hlaing).</w:t>
      </w:r>
    </w:p>
    <w:p>
      <w:pPr>
        <w:numPr>
          <w:ilvl w:val="0"/>
          <w:numId w:val="1002"/>
        </w:numPr>
        <w:pStyle w:val="Compact"/>
      </w:pPr>
      <w:r>
        <w:rPr>
          <w:bCs/>
          <w:b/>
        </w:rPr>
        <w:t xml:space="preserve">Prioritize Retention over Acquisition:</w:t>
      </w:r>
      <w:r>
        <w:t xml:space="preserve"> </w:t>
      </w:r>
      <w:r>
        <w:t xml:space="preserve">Implement a "Client Success Journey" program for Yangon-based accountants to reduce churn—our data shows retained clients generate 3.2x more referral business.</w:t>
      </w:r>
    </w:p>
    <w:p>
      <w:pPr>
        <w:pStyle w:val="FirstParagraph"/>
      </w:pPr>
      <w:r>
        <w:rPr>
          <w:bCs/>
          <w:b/>
        </w:rPr>
        <w:t xml:space="preserve">Final Yangon Insight:</w:t>
      </w:r>
      <w:r>
        <w:t xml:space="preserve"> </w:t>
      </w:r>
      <w:r>
        <w:t xml:space="preserve">The accountant role in Myanmar's economy has evolved from transactional compliance to strategic business partnership. Our Q3 sales confirm that accountants who deeply understand Yangon's commercial nuances—regulatory, cultural, and economic—will dominate the market. As Myanmar accelerates its digital transformation, our accountant services must remain agile to capitalize on Yangon's position as Southeast Asia's next emerging business frontier.</w:t>
      </w:r>
    </w:p>
    <w:bookmarkEnd w:id="31"/>
    <w:p>
      <w:pPr>
        <w:pStyle w:val="BodyText"/>
      </w:pPr>
      <w:r>
        <w:t xml:space="preserve">Prepared by: [Your Accounting Firm Name] | Date: October 15, 2023 | Confidential for Internal Use in Myanmar Yangon Operations</w:t>
      </w:r>
    </w:p>
    <w:p>
      <w:pPr>
        <w:pStyle w:val="BodyText"/>
      </w:pPr>
      <w:r>
        <w:t xml:space="preserve">Report Word Count: 867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Services - Yangon, Myanmar</dc:title>
  <dc:creator/>
  <dc:language>en</dc:language>
  <cp:keywords/>
  <dcterms:created xsi:type="dcterms:W3CDTF">2026-07-22T22:08:15Z</dcterms:created>
  <dcterms:modified xsi:type="dcterms:W3CDTF">2026-07-22T22:08:15Z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