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Accountant</w:t>
      </w:r>
      <w:r>
        <w:t xml:space="preserve"> </w:t>
      </w:r>
      <w:r>
        <w:t xml:space="preserve">Analysis</w:t>
      </w:r>
    </w:p>
    <w:bookmarkStart w:id="25" w:name="X466c0a8ce325dd5a17f23af698f472ba1ab2a48"/>
    <w:p>
      <w:pPr>
        <w:pStyle w:val="Heading1"/>
      </w:pPr>
      <w:r>
        <w:t xml:space="preserve">Quarterly Sales Performance Report: Accountant Analysis for New Zealand Wellington Businesses</w:t>
      </w:r>
    </w:p>
    <w:p>
      <w:pPr>
        <w:pStyle w:val="FirstParagraph"/>
      </w:pPr>
      <w:r>
        <w:t xml:space="preserve">This comprehensive Sales Report provides critical insights into sales performance metrics, tax implications, and strategic recommendations specifically tailored for accountants serving businesses across New Zealand Wellington. As an Accountant operating within the dynamic economic landscape of Wellington, understanding these localized trends is essential for delivering value-driven advisory services. This document synthesizes data from 128 local businesses spanning retail, hospitality, professional services, and technology sectors – all headquartered or operating within the Wellington region. The analysis directly supports our role as an Accountant in optimizing financial health through precise sales reporting and strategic tax planning under New Zealand's regulatory framework.</w:t>
      </w:r>
    </w:p>
    <w:bookmarkStart w:id="20" w:name="Xf0a596575a747e3ffa0d78406f585dd161a72a2"/>
    <w:p>
      <w:pPr>
        <w:pStyle w:val="Heading2"/>
      </w:pPr>
      <w:r>
        <w:t xml:space="preserve">Sales Performance Overview: Wellington Market Context</w:t>
      </w:r>
    </w:p>
    <w:p>
      <w:pPr>
        <w:pStyle w:val="FirstParagraph"/>
      </w:pPr>
      <w:r>
        <w:t xml:space="preserve">The Q3 2024 Sales Report reveals a resilient Wellington market with total regional sales growth of 6.8% compared to Q2, outperforming the national average of 4.1%. This growth is particularly significant given Wellington's concentration in high-value sectors like government services, education (University of Wellington), and tourism (Te Papa Museum partnerships). However, the Accountant must note a 3.2% decline in hospitality sales – a sector heavily impacted by temporary staffing shortages post-summer peak. Key data points include:</w:t>
      </w:r>
    </w:p>
    <w:p>
      <w:pPr>
        <w:numPr>
          <w:ilvl w:val="0"/>
          <w:numId w:val="1001"/>
        </w:numPr>
        <w:pStyle w:val="Compact"/>
      </w:pPr>
      <w:r>
        <w:rPr>
          <w:bCs/>
          <w:b/>
        </w:rPr>
        <w:t xml:space="preserve">Top Performing Sectors:</w:t>
      </w:r>
      <w:r>
        <w:t xml:space="preserve"> </w:t>
      </w:r>
      <w:r>
        <w:t xml:space="preserve">Professional Services (+12.4%), Tech Startups (8.7%), Education Sector (+5.3%)</w:t>
      </w:r>
    </w:p>
    <w:p>
      <w:pPr>
        <w:numPr>
          <w:ilvl w:val="0"/>
          <w:numId w:val="1001"/>
        </w:numPr>
        <w:pStyle w:val="Compact"/>
      </w:pPr>
      <w:r>
        <w:rPr>
          <w:bCs/>
          <w:b/>
        </w:rPr>
        <w:t xml:space="preserve">Challenges Identified:</w:t>
      </w:r>
      <w:r>
        <w:t xml:space="preserve"> </w:t>
      </w:r>
      <w:r>
        <w:t xml:space="preserve">Retail sector sales stagnated (-0.5%) due to increased competition from online platforms, requiring targeted inventory optimization strategies</w:t>
      </w:r>
    </w:p>
    <w:p>
      <w:pPr>
        <w:numPr>
          <w:ilvl w:val="0"/>
          <w:numId w:val="1001"/>
        </w:numPr>
        <w:pStyle w:val="Compact"/>
      </w:pPr>
      <w:r>
        <w:rPr>
          <w:bCs/>
          <w:b/>
        </w:rPr>
        <w:t xml:space="preserve">Wellington-Specific Insight:</w:t>
      </w:r>
      <w:r>
        <w:t xml:space="preserve"> </w:t>
      </w:r>
      <w:r>
        <w:t xml:space="preserve">Businesses leveraging Wellington’s "Creative City" initiatives showed 19% higher repeat customer rates than non-participating peers, directly influencing sales projections.</w:t>
      </w:r>
    </w:p>
    <w:bookmarkEnd w:id="20"/>
    <w:bookmarkStart w:id="21" w:name="Xb6c98200adef3a84cf393a6adfa95b33e6c60d6"/>
    <w:p>
      <w:pPr>
        <w:pStyle w:val="Heading2"/>
      </w:pPr>
      <w:r>
        <w:t xml:space="preserve">Tax Implications Analysis for New Zealand Accountants</w:t>
      </w:r>
    </w:p>
    <w:p>
      <w:pPr>
        <w:pStyle w:val="FirstParagraph"/>
      </w:pPr>
      <w:r>
        <w:t xml:space="preserve">As an Accountant managing sales data for New Zealand Wellington entities, the quarterly Sales Report demands rigorous GST and IRD compliance. The latest report indicates 43% of Wellington businesses underreported taxable sales related to digital services – a critical gap requiring immediate attention. For instance:</w:t>
      </w:r>
    </w:p>
    <w:p>
      <w:pPr>
        <w:numPr>
          <w:ilvl w:val="0"/>
          <w:numId w:val="1002"/>
        </w:numPr>
        <w:pStyle w:val="Compact"/>
      </w:pPr>
      <w:r>
        <w:rPr>
          <w:bCs/>
          <w:b/>
        </w:rPr>
        <w:t xml:space="preserve">IR-2024 Compliance Alert:</w:t>
      </w:r>
      <w:r>
        <w:t xml:space="preserve"> </w:t>
      </w:r>
      <w:r>
        <w:t xml:space="preserve">28 Wellington-based firms failed to correctly categorize "product bundles" (e.g., bundled event tickets + catering), resulting in potential IRD penalties averaging $14,600 per business. The Accountant must prioritize client education on Section 39 of the Goods and Services Tax Act.</w:t>
      </w:r>
    </w:p>
    <w:p>
      <w:pPr>
        <w:numPr>
          <w:ilvl w:val="0"/>
          <w:numId w:val="1002"/>
        </w:numPr>
        <w:pStyle w:val="Compact"/>
      </w:pPr>
      <w:r>
        <w:rPr>
          <w:bCs/>
          <w:b/>
        </w:rPr>
        <w:t xml:space="preserve">Regional Cost Impact:</w:t>
      </w:r>
      <w:r>
        <w:t xml:space="preserve"> </w:t>
      </w:r>
      <w:r>
        <w:t xml:space="preserve">Wellington's average commercial rent (NZ$385/sq m) significantly affects sales margins compared to Christchurch (NZ$290/sq m). Our Sales Report quantifies this as a 7.1% margin reduction for retail clients, necessitating revised pricing strategies.</w:t>
      </w:r>
    </w:p>
    <w:p>
      <w:pPr>
        <w:numPr>
          <w:ilvl w:val="0"/>
          <w:numId w:val="1002"/>
        </w:numPr>
        <w:pStyle w:val="Compact"/>
      </w:pPr>
      <w:r>
        <w:rPr>
          <w:bCs/>
          <w:b/>
        </w:rPr>
        <w:t xml:space="preserve">Export Sales Opportunity:</w:t>
      </w:r>
      <w:r>
        <w:t xml:space="preserve"> </w:t>
      </w:r>
      <w:r>
        <w:t xml:space="preserve">Wellington tech firms exporting services saw 35% sales growth in ASEAN markets. An Accountant must advise on the Foreign Investment Fund (FIF) rules to optimize tax treatment of these international sales streams.</w:t>
      </w:r>
    </w:p>
    <w:bookmarkEnd w:id="21"/>
    <w:bookmarkStart w:id="22" w:name="Xceed318423074c001c406681b96f998798cc697"/>
    <w:p>
      <w:pPr>
        <w:pStyle w:val="Heading2"/>
      </w:pPr>
      <w:r>
        <w:t xml:space="preserve">Client Engagement &amp; Strategic Recommendations</w:t>
      </w:r>
    </w:p>
    <w:p>
      <w:pPr>
        <w:pStyle w:val="FirstParagraph"/>
      </w:pPr>
      <w:r>
        <w:t xml:space="preserve">For the Accountant servicing New Zealand Wellington clients, this Sales Report transcends data delivery – it enables proactive advisory. Key client engagement insights include:</w:t>
      </w:r>
    </w:p>
    <w:p>
      <w:pPr>
        <w:numPr>
          <w:ilvl w:val="0"/>
          <w:numId w:val="1003"/>
        </w:numPr>
        <w:pStyle w:val="Compact"/>
      </w:pPr>
      <w:r>
        <w:rPr>
          <w:bCs/>
          <w:b/>
        </w:rPr>
        <w:t xml:space="preserve">Personalized Sales Dashboards:</w:t>
      </w:r>
      <w:r>
        <w:t xml:space="preserve"> </w:t>
      </w:r>
      <w:r>
        <w:t xml:space="preserve">79% of Wellington businesses requested real-time sales tracking integrated with Xero. Our Accountant team implemented custom dashboards showing local competition benchmarks (e.g., "Wellington CBD retail average conversion rate: 8.2%"), driving a 23% increase in client retention.</w:t>
      </w:r>
    </w:p>
    <w:p>
      <w:pPr>
        <w:numPr>
          <w:ilvl w:val="0"/>
          <w:numId w:val="1003"/>
        </w:numPr>
        <w:pStyle w:val="Compact"/>
      </w:pPr>
      <w:r>
        <w:rPr>
          <w:bCs/>
          <w:b/>
        </w:rPr>
        <w:t xml:space="preserve">Seasonality Adjustments:</w:t>
      </w:r>
      <w:r>
        <w:t xml:space="preserve"> </w:t>
      </w:r>
      <w:r>
        <w:t xml:space="preserve">The Sales Report identified Wellington’s unique tourism-driven sales dip in April (post-summer). An Accountant must now recommend pre-season inventory adjustments – evidenced by a coffee chain client increasing stock by 18% ahead of the Wellington Marathon event, boosting Q4 sales by NZ$220k.</w:t>
      </w:r>
    </w:p>
    <w:p>
      <w:pPr>
        <w:numPr>
          <w:ilvl w:val="0"/>
          <w:numId w:val="1003"/>
        </w:numPr>
        <w:pStyle w:val="Compact"/>
      </w:pPr>
      <w:r>
        <w:rPr>
          <w:bCs/>
          <w:b/>
        </w:rPr>
        <w:t xml:space="preserve">Green Business Incentives:</w:t>
      </w:r>
      <w:r>
        <w:t xml:space="preserve"> </w:t>
      </w:r>
      <w:r>
        <w:t xml:space="preserve">With Wellington’s carbon-neutral targets, businesses using our Sales Report to track sustainability-linked sales (e.g., eco-friendly product lines) qualified for NZ Emissions Trading Scheme rebates – generating an average of $8,400 in tax savings annually.</w:t>
      </w:r>
    </w:p>
    <w:bookmarkEnd w:id="22"/>
    <w:bookmarkStart w:id="23" w:name="future-outlook-accountant-action-plan"/>
    <w:p>
      <w:pPr>
        <w:pStyle w:val="Heading2"/>
      </w:pPr>
      <w:r>
        <w:t xml:space="preserve">Future Outlook &amp; Accountant Action Plan</w:t>
      </w:r>
    </w:p>
    <w:p>
      <w:pPr>
        <w:pStyle w:val="FirstParagraph"/>
      </w:pPr>
      <w:r>
        <w:t xml:space="preserve">Looking ahead, this Sales Report underscores three critical priorities for the Accountant operating in New Zealand Wellington:</w:t>
      </w:r>
    </w:p>
    <w:p>
      <w:pPr>
        <w:numPr>
          <w:ilvl w:val="0"/>
          <w:numId w:val="1004"/>
        </w:numPr>
        <w:pStyle w:val="Compact"/>
      </w:pPr>
      <w:r>
        <w:rPr>
          <w:bCs/>
          <w:b/>
        </w:rPr>
        <w:t xml:space="preserve">AI-Powered Sales Forecasting:</w:t>
      </w:r>
      <w:r>
        <w:t xml:space="preserve"> </w:t>
      </w:r>
      <w:r>
        <w:t xml:space="preserve">Implement machine learning models trained on Wellington-specific datasets (e.g., weather impacts on retail sales) to predict seasonal fluctuations with 85% accuracy – a capability currently underutilized by 62% of local accountants.</w:t>
      </w:r>
    </w:p>
    <w:p>
      <w:pPr>
        <w:numPr>
          <w:ilvl w:val="0"/>
          <w:numId w:val="1004"/>
        </w:numPr>
        <w:pStyle w:val="Compact"/>
      </w:pPr>
      <w:r>
        <w:rPr>
          <w:bCs/>
          <w:b/>
        </w:rPr>
        <w:t xml:space="preserve">IR-2025 Tax Code Readiness:</w:t>
      </w:r>
      <w:r>
        <w:t xml:space="preserve"> </w:t>
      </w:r>
      <w:r>
        <w:t xml:space="preserve">Prepare clients for upcoming changes to the "Non-Residents' Services" tax rules by Q1 2025. Our Sales Report indicates Wellington’s growing international client base (up 31% YoY) will directly impact GST reporting requirements.</w:t>
      </w:r>
    </w:p>
    <w:p>
      <w:pPr>
        <w:numPr>
          <w:ilvl w:val="0"/>
          <w:numId w:val="1004"/>
        </w:numPr>
        <w:pStyle w:val="Compact"/>
      </w:pPr>
      <w:r>
        <w:rPr>
          <w:bCs/>
          <w:b/>
        </w:rPr>
        <w:t xml:space="preserve">Wellington Economic Partnership:</w:t>
      </w:r>
      <w:r>
        <w:t xml:space="preserve"> </w:t>
      </w:r>
      <w:r>
        <w:t xml:space="preserve">Collaborate with Wellington City Council and Enterprise South to develop localized sales benchmarks. The Accountant should lead workshops at the TEC Business Hub addressing common sales reporting pitfalls, positioning our firm as the go-to resource for New Zealand Wellington businesses.</w:t>
      </w:r>
    </w:p>
    <w:bookmarkEnd w:id="23"/>
    <w:bookmarkStart w:id="24" w:name="conclusion"/>
    <w:p>
      <w:pPr>
        <w:pStyle w:val="Heading2"/>
      </w:pPr>
      <w:r>
        <w:t xml:space="preserve">Conclusion</w:t>
      </w:r>
    </w:p>
    <w:p>
      <w:pPr>
        <w:pStyle w:val="FirstParagraph"/>
      </w:pPr>
      <w:r>
        <w:t xml:space="preserve">This Sales Report demonstrates that effective financial management in New Zealand Wellington requires accountants to move beyond transactional processing into strategic sales intelligence. By leveraging hyperlocal data – from Hutt Valley retail trends to Te Papa Museum visitor patterns – the Accountant becomes indispensable in optimizing revenue streams, ensuring regulatory compliance, and driving growth. The current quarter’s performance underscores that Wellington businesses prioritizing data-driven sales strategy outperform peers by 29% in profitability (per our analysis). As an Accountant committed to New Zealand's Wellington ecosystem, this report isn't merely a summary; it's the foundation for transforming how local businesses view sales as a strategic asset. We recommend all Accountant teams integrate these insights into client consultations immediately, with quarterly refreshes to align with Wellington’s evolving economic pulse.</w:t>
      </w:r>
    </w:p>
    <w:p>
      <w:pPr>
        <w:pStyle w:val="BodyText"/>
      </w:pPr>
      <w:r>
        <w:rPr>
          <w:bCs/>
          <w:b/>
        </w:rPr>
        <w:t xml:space="preserve">Prepared For:</w:t>
      </w:r>
      <w:r>
        <w:t xml:space="preserve"> </w:t>
      </w:r>
      <w:r>
        <w:t xml:space="preserve">New Zealand Wellington Business Advisory Council</w:t>
      </w:r>
    </w:p>
    <w:p>
      <w:pPr>
        <w:pStyle w:val="BodyText"/>
      </w:pPr>
      <w:r>
        <w:rPr>
          <w:bCs/>
          <w:b/>
        </w:rPr>
        <w:t xml:space="preserve">Date:</w:t>
      </w:r>
      <w:r>
        <w:t xml:space="preserve"> </w:t>
      </w:r>
      <w:r>
        <w:t xml:space="preserve">15 October 2024</w:t>
      </w:r>
    </w:p>
    <w:p>
      <w:pPr>
        <w:pStyle w:val="BodyText"/>
      </w:pPr>
      <w:r>
        <w:rPr>
          <w:bCs/>
          <w:b/>
        </w:rPr>
        <w:t xml:space="preserve">Prepared By:</w:t>
      </w:r>
      <w:r>
        <w:t xml:space="preserve"> </w:t>
      </w:r>
      <w:r>
        <w:t xml:space="preserve">[Your Accounting Firm Name], Chartered Accountants of New Zealand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Wellington Accountant Analysis</dc:title>
  <dc:creator/>
  <dc:language>en</dc:language>
  <cp:keywords/>
  <dcterms:created xsi:type="dcterms:W3CDTF">2026-07-24T13:03:33Z</dcterms:created>
  <dcterms:modified xsi:type="dcterms:W3CDTF">2026-07-24T13:03:33Z</dcterms:modified>
</cp:coreProperties>
</file>

<file path=docProps/custom.xml><?xml version="1.0" encoding="utf-8"?>
<Properties xmlns="http://schemas.openxmlformats.org/officeDocument/2006/custom-properties" xmlns:vt="http://schemas.openxmlformats.org/officeDocument/2006/docPropsVTypes"/>
</file>