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for</w:t>
      </w:r>
      <w:r>
        <w:t xml:space="preserve"> </w:t>
      </w:r>
      <w:r>
        <w:t xml:space="preserve">Accountant</w:t>
      </w:r>
      <w:r>
        <w:t xml:space="preserve"> </w:t>
      </w:r>
      <w:r>
        <w:t xml:space="preserve">-</w:t>
      </w:r>
      <w:r>
        <w:t xml:space="preserve"> </w:t>
      </w:r>
      <w:r>
        <w:t xml:space="preserve">Peru</w:t>
      </w:r>
      <w:r>
        <w:t xml:space="preserve"> </w:t>
      </w:r>
      <w:r>
        <w:t xml:space="preserve">Lima</w:t>
      </w:r>
    </w:p>
    <w:bookmarkStart w:id="28" w:name="X161919cd7c64b6ec249885db2c50d8317a1729b"/>
    <w:p>
      <w:pPr>
        <w:pStyle w:val="Heading1"/>
      </w:pPr>
      <w:r>
        <w:t xml:space="preserve">Comprehensive Sales Report: Financial Performance Analysis for Accountant Services in Peru Lima (Q3 2023)</w:t>
      </w:r>
    </w:p>
    <w:bookmarkStart w:id="27" w:name="Xf04543826f66a4f7908223737b446029e5d52a3"/>
    <w:p>
      <w:pPr>
        <w:pStyle w:val="Heading2"/>
      </w:pPr>
      <w:r>
        <w:t xml:space="preserve">Prepared By: Accounting Department, Lima Metropolitan Area</w:t>
      </w:r>
    </w:p>
    <w:p>
      <w:pPr>
        <w:pStyle w:val="FirstParagraph"/>
      </w:pPr>
      <w:r>
        <w:t xml:space="preserve">Date: October 26, 2023 | Report Period: July 1 - September 30, 2023</w:t>
      </w:r>
    </w:p>
    <w:bookmarkStart w:id="20" w:name="executive-summary"/>
    <w:p>
      <w:pPr>
        <w:pStyle w:val="Heading3"/>
      </w:pPr>
      <w:r>
        <w:t xml:space="preserve">Executive Summary</w:t>
      </w:r>
    </w:p>
    <w:p>
      <w:pPr>
        <w:pStyle w:val="FirstParagraph"/>
      </w:pPr>
      <w:r>
        <w:t xml:space="preserve">This Sales Report presents a detailed financial analysis of accounting services provided by our firm to corporate clients across Peru Lima. The report underscores the critical role of the Accountant in driving revenue growth, ensuring compliance with Peruvian tax regulations (SUNAT), and delivering data-driven insights for strategic decision-making. In Q3 2023, our Lima operations achieved a 14% year-over-year sales increase, generating USD $1.85M in service revenue – significantly outperforming national averages. This success directly demonstrates how an adept Accountant transforms financial data into actionable business intelligence within the dynamic Peru Lima market.</w:t>
      </w:r>
    </w:p>
    <w:bookmarkEnd w:id="20"/>
    <w:bookmarkStart w:id="21" w:name="X4e74effdf2be5be23b4f415c4041a093840450f"/>
    <w:p>
      <w:pPr>
        <w:pStyle w:val="Heading3"/>
      </w:pPr>
      <w:r>
        <w:t xml:space="preserve">Regional Sales Performance: Lima Metropolitan Focus</w:t>
      </w:r>
    </w:p>
    <w:p>
      <w:pPr>
        <w:pStyle w:val="FirstParagraph"/>
      </w:pPr>
      <w:r>
        <w:t xml:space="preserve">The Peru Lima region contributed 76% of total firm revenue, with key sectors driving growth:</w:t>
      </w:r>
    </w:p>
    <w:p>
      <w:pPr>
        <w:numPr>
          <w:ilvl w:val="0"/>
          <w:numId w:val="1001"/>
        </w:numPr>
        <w:pStyle w:val="Compact"/>
      </w:pPr>
      <w:r>
        <w:rPr>
          <w:bCs/>
          <w:b/>
        </w:rPr>
        <w:t xml:space="preserve">Retail &amp; E-commerce:</w:t>
      </w:r>
      <w:r>
        <w:t xml:space="preserve"> </w:t>
      </w:r>
      <w:r>
        <w:t xml:space="preserve">+22% YoY (Lima represents 68% of national retail sales)</w:t>
      </w:r>
    </w:p>
    <w:p>
      <w:pPr>
        <w:numPr>
          <w:ilvl w:val="0"/>
          <w:numId w:val="1001"/>
        </w:numPr>
        <w:pStyle w:val="Compact"/>
      </w:pPr>
      <w:r>
        <w:rPr>
          <w:bCs/>
          <w:b/>
        </w:rPr>
        <w:t xml:space="preserve">Manufacturing:</w:t>
      </w:r>
      <w:r>
        <w:t xml:space="preserve"> </w:t>
      </w:r>
      <w:r>
        <w:t xml:space="preserve">+17% YoY (Lima hosts 53% of Peru's industrial output)</w:t>
      </w:r>
    </w:p>
    <w:p>
      <w:pPr>
        <w:numPr>
          <w:ilvl w:val="0"/>
          <w:numId w:val="1001"/>
        </w:numPr>
        <w:pStyle w:val="Compact"/>
      </w:pPr>
      <w:r>
        <w:rPr>
          <w:bCs/>
          <w:b/>
        </w:rPr>
        <w:t xml:space="preserve">Tourism &amp; Hospitality:</w:t>
      </w:r>
      <w:r>
        <w:t xml:space="preserve"> </w:t>
      </w:r>
      <w:r>
        <w:t xml:space="preserve">+9% YoY (Post-pandemic recovery in Lima's tourism hub)</w:t>
      </w:r>
    </w:p>
    <w:p>
      <w:pPr>
        <w:pStyle w:val="FirstParagraph"/>
      </w:pPr>
      <w:r>
        <w:t xml:space="preserve">The Accountant team executed real-time revenue tracking using Peru's new digital invoicing system (SUNAT 2023), enabling immediate identification of high-value clients. For instance, the Accountant identified a 15% sales dip in the Miraflores district retail sector during August – triggering targeted client outreach that reversed the trend by September.</w:t>
      </w:r>
    </w:p>
    <w:bookmarkEnd w:id="21"/>
    <w:bookmarkStart w:id="22" w:name="X63a650a88dd516707689ae656466604de1d590f"/>
    <w:p>
      <w:pPr>
        <w:pStyle w:val="Heading3"/>
      </w:pPr>
      <w:r>
        <w:t xml:space="preserve">Key Sales Metrics Analysis (Peru Lima Operations)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Δ%</w:t>
            </w:r>
          </w:p>
        </w:tc>
      </w:tr>
      <w:tr>
        <w:tc>
          <w:tcPr/>
          <w:p>
            <w:pPr>
              <w:pStyle w:val="Compact"/>
              <w:jc w:val="left"/>
            </w:pPr>
            <w:r>
              <w:t xml:space="preserve">Total Service Revenue (Lima)</w:t>
            </w:r>
          </w:p>
        </w:tc>
        <w:tc>
          <w:tcPr/>
          <w:p>
            <w:pPr>
              <w:pStyle w:val="Compact"/>
              <w:jc w:val="left"/>
            </w:pPr>
            <w:r>
              <w:t xml:space="preserve">$1.41M</w:t>
            </w:r>
          </w:p>
        </w:tc>
        <w:tc>
          <w:tcPr/>
          <w:p>
            <w:pPr>
              <w:pStyle w:val="Compact"/>
              <w:jc w:val="left"/>
            </w:pPr>
            <w:r>
              <w:t xml:space="preserve">$1.25M</w:t>
            </w:r>
          </w:p>
        </w:tc>
        <w:tc>
          <w:tcPr/>
          <w:p>
            <w:pPr>
              <w:pStyle w:val="Compact"/>
              <w:jc w:val="left"/>
            </w:pPr>
            <w:r>
              <w:t xml:space="preserve">+12.8%</w:t>
            </w:r>
          </w:p>
        </w:tc>
      </w:tr>
      <w:tr>
        <w:tc>
          <w:tcPr/>
          <w:p>
            <w:pPr>
              <w:pStyle w:val="Compact"/>
              <w:jc w:val="left"/>
            </w:pPr>
            <w:r>
              <w:t xml:space="preserve">Client Acquisition Cost</w:t>
            </w:r>
          </w:p>
        </w:tc>
        <w:tc>
          <w:tcPr/>
          <w:p>
            <w:pPr>
              <w:pStyle w:val="Compact"/>
              <w:jc w:val="left"/>
            </w:pPr>
            <w:r>
              <w:t xml:space="preserve">$3,200</w:t>
            </w:r>
          </w:p>
        </w:tc>
        <w:tc>
          <w:tcPr>
            <w:gridSpan w:val="2"/>
          </w:tcPr>
          <w:p>
            <w:pPr>
              <w:pStyle w:val="Compact"/>
              <w:jc w:val="left"/>
            </w:pPr>
            <w:r>
              <w:t xml:space="preserve">-8% (Improved efficiency)</w:t>
            </w:r>
          </w:p>
        </w:tc>
      </w:tr>
      <w:tr>
        <w:tc>
          <w:tcPr/>
          <w:p>
            <w:pPr>
              <w:pStyle w:val="Compact"/>
              <w:jc w:val="left"/>
            </w:pPr>
            <w:r>
              <w:t xml:space="preserve">Revenue per Accountant (Lima)</w:t>
            </w:r>
          </w:p>
        </w:tc>
        <w:tc>
          <w:tcPr/>
          <w:p>
            <w:pPr>
              <w:pStyle w:val="Compact"/>
              <w:jc w:val="left"/>
            </w:pPr>
            <w:r>
              <w:t xml:space="preserve">$154,800</w:t>
            </w:r>
          </w:p>
        </w:tc>
        <w:tc>
          <w:tcPr/>
          <w:p>
            <w:pPr>
              <w:pStyle w:val="Compact"/>
              <w:jc w:val="left"/>
            </w:pPr>
            <w:r>
              <w:t xml:space="preserve">$139,500</w:t>
            </w:r>
          </w:p>
        </w:tc>
        <w:tc>
          <w:tcPr/>
          <w:p>
            <w:pPr>
              <w:pStyle w:val="Compact"/>
              <w:jc w:val="left"/>
            </w:pPr>
            <w:r>
              <w:t xml:space="preserve">+11.0%</w:t>
            </w:r>
          </w:p>
        </w:tc>
      </w:tr>
      <w:tr>
        <w:tc>
          <w:tcPr/>
          <w:p>
            <w:pPr>
              <w:pStyle w:val="Compact"/>
              <w:jc w:val="left"/>
            </w:pPr>
            <w:r>
              <w:t xml:space="preserve">SUNAT Compliance Rate</w:t>
            </w:r>
          </w:p>
        </w:tc>
        <w:tc>
          <w:tcPr>
            <w:gridSpan w:val="3"/>
          </w:tcPr>
          <w:p>
            <w:pPr>
              <w:pStyle w:val="Compact"/>
              <w:jc w:val="left"/>
            </w:pPr>
            <w:r>
              <w:t xml:space="preserve">99.7% (Exceeds Peru's 98% regulatory standard)</w:t>
            </w:r>
          </w:p>
        </w:tc>
      </w:tr>
    </w:tbl>
    <w:bookmarkEnd w:id="22"/>
    <w:bookmarkStart w:id="23" w:name="X938f31ac00171c110b27dfd1781c8110d0a2191"/>
    <w:p>
      <w:pPr>
        <w:pStyle w:val="Heading3"/>
      </w:pPr>
      <w:r>
        <w:t xml:space="preserve">The Accountant's Critical Role in Sales Success</w:t>
      </w:r>
    </w:p>
    <w:p>
      <w:pPr>
        <w:pStyle w:val="FirstParagraph"/>
      </w:pPr>
      <w:r>
        <w:t xml:space="preserve">In the competitive Lima market, the Accountant is no longer a back-office function – they are a sales catalyst. Our Lima-based Accountants achieve this through:</w:t>
      </w:r>
    </w:p>
    <w:p>
      <w:pPr>
        <w:numPr>
          <w:ilvl w:val="0"/>
          <w:numId w:val="1002"/>
        </w:numPr>
        <w:pStyle w:val="Compact"/>
      </w:pPr>
      <w:r>
        <w:rPr>
          <w:bCs/>
          <w:b/>
        </w:rPr>
        <w:t xml:space="preserve">Proactive Financial Advisory:</w:t>
      </w:r>
      <w:r>
        <w:t xml:space="preserve"> </w:t>
      </w:r>
      <w:r>
        <w:t xml:space="preserve">The Accountant analyzes client sales data to identify cross-selling opportunities (e.g., recommending payroll integration services after spotting high employee turnover in manufacturing clients).</w:t>
      </w:r>
    </w:p>
    <w:p>
      <w:pPr>
        <w:numPr>
          <w:ilvl w:val="0"/>
          <w:numId w:val="1002"/>
        </w:numPr>
        <w:pStyle w:val="Compact"/>
      </w:pPr>
      <w:r>
        <w:rPr>
          <w:bCs/>
          <w:b/>
        </w:rPr>
        <w:t xml:space="preserve">SUNAT Regulatory Expertise:</w:t>
      </w:r>
      <w:r>
        <w:t xml:space="preserve"> </w:t>
      </w:r>
      <w:r>
        <w:t xml:space="preserve">As Peru Lima's tax landscape evolves, the Accountant ensures clients avoid penalties while optimizing deductions – directly increasing client retention by 27% this quarter.</w:t>
      </w:r>
    </w:p>
    <w:p>
      <w:pPr>
        <w:numPr>
          <w:ilvl w:val="0"/>
          <w:numId w:val="1002"/>
        </w:numPr>
        <w:pStyle w:val="Compact"/>
      </w:pPr>
      <w:r>
        <w:rPr>
          <w:bCs/>
          <w:b/>
        </w:rPr>
        <w:t xml:space="preserve">Real-Time Dashboard Reporting:</w:t>
      </w:r>
      <w:r>
        <w:t xml:space="preserve"> </w:t>
      </w:r>
      <w:r>
        <w:t xml:space="preserve">The Accountant developed a customized sales dashboard (integrated with Peru's SII platform) showing daily revenue trends to Lima-based sales teams, enabling agile strategy shifts.</w:t>
      </w:r>
    </w:p>
    <w:bookmarkEnd w:id="23"/>
    <w:bookmarkStart w:id="24" w:name="challenges-overcome-in-peru-lima"/>
    <w:p>
      <w:pPr>
        <w:pStyle w:val="Heading3"/>
      </w:pPr>
      <w:r>
        <w:t xml:space="preserve">Challenges Overcome in Peru Lima</w:t>
      </w:r>
    </w:p>
    <w:p>
      <w:pPr>
        <w:pStyle w:val="FirstParagraph"/>
      </w:pPr>
      <w:r>
        <w:t xml:space="preserve">The Accountant team navigated significant challenges unique to the Lima market:</w:t>
      </w:r>
    </w:p>
    <w:p>
      <w:pPr>
        <w:numPr>
          <w:ilvl w:val="0"/>
          <w:numId w:val="1003"/>
        </w:numPr>
        <w:pStyle w:val="Compact"/>
      </w:pPr>
      <w:r>
        <w:rPr>
          <w:bCs/>
          <w:b/>
        </w:rPr>
        <w:t xml:space="preserve">Hyperinflation Impact:</w:t>
      </w:r>
      <w:r>
        <w:t xml:space="preserve"> </w:t>
      </w:r>
      <w:r>
        <w:t xml:space="preserve">With Peru's inflation at 10.2% (July-Sept), the Accountant implemented dynamic pricing models for recurring services, maintaining 93% client retention during economic volatility.</w:t>
      </w:r>
    </w:p>
    <w:p>
      <w:pPr>
        <w:numPr>
          <w:ilvl w:val="0"/>
          <w:numId w:val="1003"/>
        </w:numPr>
        <w:pStyle w:val="Compact"/>
      </w:pPr>
      <w:r>
        <w:rPr>
          <w:bCs/>
          <w:b/>
        </w:rPr>
        <w:t xml:space="preserve">SUNAT Digital Transformation:</w:t>
      </w:r>
      <w:r>
        <w:t xml:space="preserve"> </w:t>
      </w:r>
      <w:r>
        <w:t xml:space="preserve">When Peru launched its new electronic billing platform in August, the Lima Accountant team trained 147 clients on compliance – preventing potential $280K in penalties and securing 19 new contracts.</w:t>
      </w:r>
    </w:p>
    <w:bookmarkEnd w:id="24"/>
    <w:bookmarkStart w:id="25" w:name="Xb7de54cafe6f2aa469326371446654a391c6f01"/>
    <w:p>
      <w:pPr>
        <w:pStyle w:val="Heading3"/>
      </w:pPr>
      <w:r>
        <w:t xml:space="preserve">Sales Growth Recommendations for Lima Operations</w:t>
      </w:r>
    </w:p>
    <w:p>
      <w:pPr>
        <w:pStyle w:val="FirstParagraph"/>
      </w:pPr>
      <w:r>
        <w:t xml:space="preserve">Based on this Sales Report analysis, our Accountant team recommends:</w:t>
      </w:r>
    </w:p>
    <w:p>
      <w:pPr>
        <w:numPr>
          <w:ilvl w:val="0"/>
          <w:numId w:val="1004"/>
        </w:numPr>
        <w:pStyle w:val="Compact"/>
      </w:pPr>
      <w:r>
        <w:rPr>
          <w:bCs/>
          <w:b/>
        </w:rPr>
        <w:t xml:space="preserve">Targeted Expansion in Miraflores:</w:t>
      </w:r>
      <w:r>
        <w:t xml:space="preserve"> </w:t>
      </w:r>
      <w:r>
        <w:t xml:space="preserve">Focus on luxury retail clients (42% of Lima's high-net-worth individuals reside here) with bespoke accounting packages. The Accountant estimates $300K incremental revenue potential.</w:t>
      </w:r>
    </w:p>
    <w:p>
      <w:pPr>
        <w:numPr>
          <w:ilvl w:val="0"/>
          <w:numId w:val="1004"/>
        </w:numPr>
        <w:pStyle w:val="Compact"/>
      </w:pPr>
      <w:r>
        <w:rPr>
          <w:bCs/>
          <w:b/>
        </w:rPr>
        <w:t xml:space="preserve">SUNAT Compliance Upselling:</w:t>
      </w:r>
      <w:r>
        <w:t xml:space="preserve"> </w:t>
      </w:r>
      <w:r>
        <w:t xml:space="preserve">Develop tiered certification packages for Peru Lima businesses struggling with new tax codes – the Accountant projects 35% adoption rate among 2,100 SMEs in our database.</w:t>
      </w:r>
    </w:p>
    <w:p>
      <w:pPr>
        <w:numPr>
          <w:ilvl w:val="0"/>
          <w:numId w:val="1004"/>
        </w:numPr>
        <w:pStyle w:val="Compact"/>
      </w:pPr>
      <w:r>
        <w:rPr>
          <w:bCs/>
          <w:b/>
        </w:rPr>
        <w:t xml:space="preserve">Lima Client Retention Program:</w:t>
      </w:r>
      <w:r>
        <w:t xml:space="preserve"> </w:t>
      </w:r>
      <w:r>
        <w:t xml:space="preserve">Implement quarterly financial health reports (prepared by the Accountant) to reduce churn. Current data shows clients receiving these reports have 4.7x lower attrition rates.</w:t>
      </w:r>
    </w:p>
    <w:bookmarkEnd w:id="25"/>
    <w:bookmarkStart w:id="26" w:name="X49f02b8cfb9f9d64b1cf979066fe8b0608cb6b1"/>
    <w:p>
      <w:pPr>
        <w:pStyle w:val="Heading3"/>
      </w:pPr>
      <w:r>
        <w:t xml:space="preserve">Conclusion: The Accountant as Lima's Sales Engine</w:t>
      </w:r>
    </w:p>
    <w:p>
      <w:pPr>
        <w:pStyle w:val="FirstParagraph"/>
      </w:pPr>
      <w:r>
        <w:t xml:space="preserve">This Sales Report unequivocally demonstrates that in Peru Lima's competitive business environment, the Accountant is the linchpin of revenue growth. Our data proves that when an Accountant leverages Peru's evolving regulatory framework (SUNAT, Law 30672) and local market intelligence, they directly drive sales performance. The $1.85M revenue in Q3 – with Lima generating 76% of this figure – validates our strategy: investing in Accountant expertise yields exponential returns.</w:t>
      </w:r>
    </w:p>
    <w:p>
      <w:pPr>
        <w:pStyle w:val="BodyText"/>
      </w:pPr>
      <w:r>
        <w:t xml:space="preserve">As Peru Lima's economy continues its post-pandemic recovery, the Accountant will remain central to navigating inflation, regulatory shifts, and client acquisition. This Sales Report serves as both a performance record and a strategic roadmap. We recommend allocating 15% of this quarter's revenue toward advanced training for our Lima Accountant team in Peru-specific tax codes – an investment that will directly fuel next quarter's sales targets.</w:t>
      </w:r>
    </w:p>
    <w:p>
      <w:pPr>
        <w:pStyle w:val="BodyText"/>
      </w:pPr>
      <w:r>
        <w:rPr>
          <w:bCs/>
          <w:b/>
        </w:rPr>
        <w:t xml:space="preserve">Final Note:</w:t>
      </w:r>
      <w:r>
        <w:t xml:space="preserve"> </w:t>
      </w:r>
      <w:r>
        <w:t xml:space="preserve">In the Peruvian market, where business culture values personal relationships and regulatory compliance, the Accountant is not merely a number-cruncher but a trusted advisor who transforms financial data into sustainable revenue. This Sales Report affirms that in Peru Lima, exceptional accounting services are synonymous with exceptional sales outcomes.</w:t>
      </w:r>
    </w:p>
    <w:p>
      <w:pPr>
        <w:pStyle w:val="BodyText"/>
      </w:pPr>
      <w:r>
        <w:t xml:space="preserve">Prepared for: Executive Management | Approved by: Chief Financial Officer (Peru Lima Office)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for Accountant - Peru Lima</dc:title>
  <dc:creator/>
  <dc:language>en</dc:language>
  <cp:keywords/>
  <dcterms:created xsi:type="dcterms:W3CDTF">2026-07-22T08:47:46Z</dcterms:created>
  <dcterms:modified xsi:type="dcterms:W3CDTF">2026-07-22T08:47:46Z</dcterms:modified>
</cp:coreProperties>
</file>

<file path=docProps/custom.xml><?xml version="1.0" encoding="utf-8"?>
<Properties xmlns="http://schemas.openxmlformats.org/officeDocument/2006/custom-properties" xmlns:vt="http://schemas.openxmlformats.org/officeDocument/2006/docPropsVTypes"/>
</file>