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Accountant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b06637029f245744f3f22d7b05aa0a03b43ceec"/>
    <w:p>
      <w:pPr>
        <w:pStyle w:val="Heading1"/>
      </w:pPr>
      <w:r>
        <w:t xml:space="preserve">MANILA ACCOUNTING DEPARTMENT SALES PERFORMANCE REPORT: QUARTER THREE (Q3) 2023</w:t>
      </w:r>
    </w:p>
    <w:p>
      <w:pPr>
        <w:pStyle w:val="FirstParagraph"/>
      </w:pPr>
      <w:r>
        <w:rPr>
          <w:bCs/>
          <w:b/>
        </w:rPr>
        <w:t xml:space="preserve">Date Prepared:</w:t>
      </w:r>
      <w:r>
        <w:t xml:space="preserve"> </w:t>
      </w:r>
      <w:r>
        <w:t xml:space="preserve">October 15, 2023 |</w:t>
      </w:r>
      <w:r>
        <w:t xml:space="preserve"> </w:t>
      </w:r>
      <w:r>
        <w:rPr>
          <w:bCs/>
          <w:b/>
        </w:rPr>
        <w:t xml:space="preserve">Prepared By:</w:t>
      </w:r>
      <w:r>
        <w:t xml:space="preserve"> </w:t>
      </w:r>
      <w:r>
        <w:t xml:space="preserve">Maria Santos, Senior Accountant |</w:t>
      </w:r>
      <w:r>
        <w:t xml:space="preserve"> </w:t>
      </w:r>
      <w:r>
        <w:rPr>
          <w:bCs/>
          <w:b/>
        </w:rPr>
        <w:t xml:space="preserve">Company:</w:t>
      </w:r>
      <w:r>
        <w:t xml:space="preserve"> </w:t>
      </w:r>
      <w:r>
        <w:t xml:space="preserve">Pacific Trade Solutions Philippines Inc. |</w:t>
      </w:r>
      <w:r>
        <w:t xml:space="preserve"> </w:t>
      </w:r>
      <w:r>
        <w:rPr>
          <w:bCs/>
          <w:b/>
        </w:rPr>
        <w:t xml:space="preserve">Location:</w:t>
      </w:r>
      <w:r>
        <w:t xml:space="preserve"> </w:t>
      </w:r>
      <w:r>
        <w:t xml:space="preserve">Makati City, Metro Manila</w:t>
      </w:r>
    </w:p>
    <w:bookmarkStart w:id="20" w:name="i.-executive-summary"/>
    <w:p>
      <w:pPr>
        <w:pStyle w:val="Heading2"/>
      </w:pPr>
      <w:r>
        <w:t xml:space="preserve">I. Executive Summary</w:t>
      </w:r>
    </w:p>
    <w:p>
      <w:pPr>
        <w:pStyle w:val="FirstParagraph"/>
      </w:pPr>
      <w:r>
        <w:t xml:space="preserve">This official Sales Report details the financial performance of Pacific Trade Solutions Philippines Inc. for Q3 2023, prepared exclusively by the Accounting Department in Manila. The report provides a comprehensive analysis of sales data, revenue verification, and compliance adherence essential for strategic decision-making within the Philippines market. As a key document processed by our Accountant team in Manila, it aligns with Philippine Financial Reporting Standards (PFRS) and Bureau of Internal Revenue (BIR) requirements. Total net sales reached ₱124.7 million this quarter, representing a 7% year-over-year increase despite regional economic fluctuations in the Philippines Manila business environment.</w:t>
      </w:r>
    </w:p>
    <w:bookmarkEnd w:id="20"/>
    <w:bookmarkStart w:id="21" w:name="X21e074fcd45f83fedf2b1c6407ada5c52597062"/>
    <w:p>
      <w:pPr>
        <w:pStyle w:val="Heading2"/>
      </w:pPr>
      <w:r>
        <w:t xml:space="preserve">II. Sales Performance Analysis: Manila Market Focus</w:t>
      </w:r>
    </w:p>
    <w:p>
      <w:pPr>
        <w:pStyle w:val="FirstParagraph"/>
      </w:pPr>
      <w:r>
        <w:t xml:space="preserve">Operating from our central office in Makati CBD, we analyzed sales across all Manila-based branches and key Metro Manila zones (Quezon City, Pasay, Mandaluyong). The Accountant department meticulously verified all revenue streams against point-of-sale systems and bank deposits. Notable observations include:</w:t>
      </w:r>
    </w:p>
    <w:p>
      <w:pPr>
        <w:numPr>
          <w:ilvl w:val="0"/>
          <w:numId w:val="1001"/>
        </w:numPr>
        <w:pStyle w:val="Compact"/>
      </w:pPr>
      <w:r>
        <w:rPr>
          <w:bCs/>
          <w:b/>
        </w:rPr>
        <w:t xml:space="preserve">Product Category Breakdown:</w:t>
      </w:r>
      <w:r>
        <w:t xml:space="preserve"> </w:t>
      </w:r>
      <w:r>
        <w:t xml:space="preserve">Electronics segment led with 42% of total sales (₱52.4M), driven by high demand for home appliances in Manila households during the monsoon season. This required our Accountant team to implement stricter inventory reconciliation procedures to prevent discrepancies.</w:t>
      </w:r>
    </w:p>
    <w:p>
      <w:pPr>
        <w:numPr>
          <w:ilvl w:val="0"/>
          <w:numId w:val="1001"/>
        </w:numPr>
        <w:pStyle w:val="Compact"/>
      </w:pPr>
      <w:r>
        <w:rPr>
          <w:bCs/>
          <w:b/>
        </w:rPr>
        <w:t xml:space="preserve">Geographic Performance:</w:t>
      </w:r>
      <w:r>
        <w:t xml:space="preserve"> </w:t>
      </w:r>
      <w:r>
        <w:t xml:space="preserve">Makati branch contributed 38% of total revenue (₱47.4M), while Quezon City showed strongest growth at +12% YoY (₱35.6M). The Accountant department identified that improved payment processing times at these Manila locations directly accelerated cash flow.</w:t>
      </w:r>
    </w:p>
    <w:p>
      <w:pPr>
        <w:numPr>
          <w:ilvl w:val="0"/>
          <w:numId w:val="1001"/>
        </w:numPr>
        <w:pStyle w:val="Compact"/>
      </w:pPr>
      <w:r>
        <w:rPr>
          <w:bCs/>
          <w:b/>
        </w:rPr>
        <w:t xml:space="preserve">Customer Acquisition:</w:t>
      </w:r>
      <w:r>
        <w:t xml:space="preserve"> </w:t>
      </w:r>
      <w:r>
        <w:t xml:space="preserve">New business from corporate clients in Bonifacio Global City (BGC) increased by 18%, a critical metric tracked by the Manila-based Accountant team for forecasting. This growth was verified through official BIR-registered contracts.</w:t>
      </w:r>
    </w:p>
    <w:bookmarkEnd w:id="21"/>
    <w:bookmarkStart w:id="22" w:name="X6bc0d8b6de61043969cf4aabff09e16a3fab4be"/>
    <w:p>
      <w:pPr>
        <w:pStyle w:val="Heading2"/>
      </w:pPr>
      <w:r>
        <w:t xml:space="preserve">III. Role of the Accountant in Sales Data Integrity</w:t>
      </w:r>
    </w:p>
    <w:p>
      <w:pPr>
        <w:pStyle w:val="FirstParagraph"/>
      </w:pPr>
      <w:r>
        <w:t xml:space="preserve">This Sales Report exemplifies the critical oversight role of our Accountant team within the Philippines Manila operations. The Accounting Department performed rigorous verification processes, including:</w:t>
      </w:r>
    </w:p>
    <w:p>
      <w:pPr>
        <w:numPr>
          <w:ilvl w:val="0"/>
          <w:numId w:val="1002"/>
        </w:numPr>
        <w:pStyle w:val="Compact"/>
      </w:pPr>
      <w:r>
        <w:rPr>
          <w:bCs/>
          <w:b/>
        </w:rPr>
        <w:t xml:space="preserve">VAT Compliance Check:</w:t>
      </w:r>
      <w:r>
        <w:t xml:space="preserve"> </w:t>
      </w:r>
      <w:r>
        <w:t xml:space="preserve">All sales invoices (BIR Form 2016) were validated for correct 12% VAT application per Philippine tax law. Our Accountant team corrected ₱875,000 in misapplied VAT entries before Q3 filing.</w:t>
      </w:r>
    </w:p>
    <w:p>
      <w:pPr>
        <w:numPr>
          <w:ilvl w:val="0"/>
          <w:numId w:val="1002"/>
        </w:numPr>
        <w:pStyle w:val="Compact"/>
      </w:pPr>
      <w:r>
        <w:rPr>
          <w:bCs/>
          <w:b/>
        </w:rPr>
        <w:t xml:space="preserve">Revenue Recognition:</w:t>
      </w:r>
      <w:r>
        <w:t xml:space="preserve"> </w:t>
      </w:r>
      <w:r>
        <w:t xml:space="preserve">Adherence to PFRS 15 was confirmed for all Manila branch sales, ensuring revenue is recorded only upon delivery (as required under Philippine accounting standards).</w:t>
      </w:r>
    </w:p>
    <w:p>
      <w:pPr>
        <w:numPr>
          <w:ilvl w:val="0"/>
          <w:numId w:val="1002"/>
        </w:numPr>
        <w:pStyle w:val="Compact"/>
      </w:pPr>
      <w:r>
        <w:rPr>
          <w:bCs/>
          <w:b/>
        </w:rPr>
        <w:t xml:space="preserve">Cash Flow Reconciliation:</w:t>
      </w:r>
      <w:r>
        <w:t xml:space="preserve"> </w:t>
      </w:r>
      <w:r>
        <w:t xml:space="preserve">Daily bank feeds from Manila branches were cross-referenced with sales ledgers. This prevented ₱320,000 in unrecorded transactions that would have impacted our financial statements.</w:t>
      </w:r>
    </w:p>
    <w:p>
      <w:pPr>
        <w:pStyle w:val="FirstParagraph"/>
      </w:pPr>
      <w:r>
        <w:t xml:space="preserve">The Accountant department’s role extends beyond number-crunching; it ensures every line item in this Sales Report complies with the Tax Code of the Philippines and safeguards against audit risks. For instance, we implemented enhanced digital tracking for sales exceeding ₱50,000 – a BIR mandate now enforced across all Manila branches.</w:t>
      </w:r>
    </w:p>
    <w:bookmarkEnd w:id="22"/>
    <w:bookmarkStart w:id="23" w:name="Xeee7b0f29eb6f851c691f5daad2b4f273ced899"/>
    <w:p>
      <w:pPr>
        <w:pStyle w:val="Heading2"/>
      </w:pPr>
      <w:r>
        <w:t xml:space="preserve">IV. Compliance &amp; Reporting Requirements (Philippines Context)</w:t>
      </w:r>
    </w:p>
    <w:p>
      <w:pPr>
        <w:pStyle w:val="FirstParagraph"/>
      </w:pPr>
      <w:r>
        <w:t xml:space="preserve">As mandated by the Philippine government, this Sales Report includes mandatory elements required for all BIR submissions from Manila operations:</w:t>
      </w:r>
    </w:p>
    <w:p>
      <w:pPr>
        <w:numPr>
          <w:ilvl w:val="0"/>
          <w:numId w:val="1003"/>
        </w:numPr>
        <w:pStyle w:val="Compact"/>
      </w:pPr>
      <w:r>
        <w:rPr>
          <w:bCs/>
          <w:b/>
        </w:rPr>
        <w:t xml:space="preserve">Quarterly VAT Return (BIR Form 2551Q):</w:t>
      </w:r>
      <w:r>
        <w:t xml:space="preserve"> </w:t>
      </w:r>
      <w:r>
        <w:t xml:space="preserve">Verified against our sales data with 99.8% accuracy – critical for avoiding penalties under Section 236 of the Tax Code.</w:t>
      </w:r>
    </w:p>
    <w:p>
      <w:pPr>
        <w:numPr>
          <w:ilvl w:val="0"/>
          <w:numId w:val="1003"/>
        </w:numPr>
        <w:pStyle w:val="Compact"/>
      </w:pPr>
      <w:r>
        <w:rPr>
          <w:bCs/>
          <w:b/>
        </w:rPr>
        <w:t xml:space="preserve">Philippine Statistical Authority (PSA) Data Alignment:</w:t>
      </w:r>
      <w:r>
        <w:t xml:space="preserve"> </w:t>
      </w:r>
      <w:r>
        <w:t xml:space="preserve">Sales figures cross-checked with Manila's economic indicators published by PSA, confirming market growth alignment.</w:t>
      </w:r>
    </w:p>
    <w:p>
      <w:pPr>
        <w:numPr>
          <w:ilvl w:val="0"/>
          <w:numId w:val="1003"/>
        </w:numPr>
        <w:pStyle w:val="Compact"/>
      </w:pPr>
      <w:r>
        <w:rPr>
          <w:bCs/>
          <w:b/>
        </w:rPr>
        <w:t xml:space="preserve">Local Government Unit (LGU) Reporting:</w:t>
      </w:r>
      <w:r>
        <w:t xml:space="preserve"> </w:t>
      </w:r>
      <w:r>
        <w:t xml:space="preserve">Monthly sales data provided to the City of Manila for business permit renewal – a requirement our Accountant team manages centrally from our Makati office.</w:t>
      </w:r>
    </w:p>
    <w:bookmarkEnd w:id="23"/>
    <w:bookmarkStart w:id="24" w:name="Xa40c10851228a0f867305a5ba5300d7caf03b97"/>
    <w:p>
      <w:pPr>
        <w:pStyle w:val="Heading2"/>
      </w:pPr>
      <w:r>
        <w:t xml:space="preserve">V. Key Challenges &amp; Manila-Specific Insights</w:t>
      </w:r>
    </w:p>
    <w:p>
      <w:pPr>
        <w:pStyle w:val="FirstParagraph"/>
      </w:pPr>
      <w:r>
        <w:t xml:space="preserve">The Accountant team identified three Manila-specific challenges impacting sales reporting:</w:t>
      </w:r>
    </w:p>
    <w:p>
      <w:pPr>
        <w:numPr>
          <w:ilvl w:val="0"/>
          <w:numId w:val="1004"/>
        </w:numPr>
        <w:pStyle w:val="Compact"/>
      </w:pPr>
      <w:r>
        <w:rPr>
          <w:bCs/>
          <w:b/>
        </w:rPr>
        <w:t xml:space="preserve">Monsoon-Related Disruptions:</w:t>
      </w:r>
      <w:r>
        <w:t xml:space="preserve"> </w:t>
      </w:r>
      <w:r>
        <w:t xml:space="preserve">Flooding in lower-lying Metro Manila areas (e.g., Navotas) delayed deliveries, requiring our Accountant to implement temporary revenue deferral protocols per PFRS.</w:t>
      </w:r>
    </w:p>
    <w:p>
      <w:pPr>
        <w:numPr>
          <w:ilvl w:val="0"/>
          <w:numId w:val="1004"/>
        </w:numPr>
        <w:pStyle w:val="Compact"/>
      </w:pPr>
      <w:r>
        <w:rPr>
          <w:bCs/>
          <w:b/>
        </w:rPr>
        <w:t xml:space="preserve">Currency Fluctuations:</w:t>
      </w:r>
      <w:r>
        <w:t xml:space="preserve"> </w:t>
      </w:r>
      <w:r>
        <w:t xml:space="preserve">The PHP/USD exchange rate volatility affected import-dependent sales. Our Accountant department adjusted cost of goods sold calculations monthly in line with Bangko Sentral ng Pilipinas (BSP) rates.</w:t>
      </w:r>
    </w:p>
    <w:p>
      <w:pPr>
        <w:numPr>
          <w:ilvl w:val="0"/>
          <w:numId w:val="1004"/>
        </w:numPr>
        <w:pStyle w:val="Compact"/>
      </w:pPr>
      <w:r>
        <w:rPr>
          <w:bCs/>
          <w:b/>
        </w:rPr>
        <w:t xml:space="preserve">Payment Behavior Shifts:</w:t>
      </w:r>
      <w:r>
        <w:t xml:space="preserve"> </w:t>
      </w:r>
      <w:r>
        <w:t xml:space="preserve">Increased cashless transactions (via GCash, PayMaya) in Manila necessitated updated reconciliation templates – now fully integrated into our accounting system by the Accountant team.</w:t>
      </w:r>
    </w:p>
    <w:bookmarkEnd w:id="24"/>
    <w:bookmarkStart w:id="25" w:name="vi.-recommendations-for-q4-2023"/>
    <w:p>
      <w:pPr>
        <w:pStyle w:val="Heading2"/>
      </w:pPr>
      <w:r>
        <w:t xml:space="preserve">VI. Recommendations for Q4 2023</w:t>
      </w:r>
    </w:p>
    <w:p>
      <w:pPr>
        <w:pStyle w:val="FirstParagraph"/>
      </w:pPr>
      <w:r>
        <w:t xml:space="preserve">Based on this Sales Report and our Accountant analysis, we recommend:</w:t>
      </w:r>
    </w:p>
    <w:p>
      <w:pPr>
        <w:numPr>
          <w:ilvl w:val="0"/>
          <w:numId w:val="1005"/>
        </w:numPr>
        <w:pStyle w:val="Compact"/>
      </w:pPr>
      <w:r>
        <w:rPr>
          <w:bCs/>
          <w:b/>
        </w:rPr>
        <w:t xml:space="preserve">Expand Digital Integration:</w:t>
      </w:r>
      <w:r>
        <w:t xml:space="preserve"> </w:t>
      </w:r>
      <w:r>
        <w:t xml:space="preserve">Implement AI-driven sales forecasting tools across all Manila branches to improve accuracy (currently at 89% vs. industry benchmark of 95%).</w:t>
      </w:r>
    </w:p>
    <w:p>
      <w:pPr>
        <w:numPr>
          <w:ilvl w:val="0"/>
          <w:numId w:val="1005"/>
        </w:numPr>
        <w:pStyle w:val="Compact"/>
      </w:pPr>
      <w:r>
        <w:rPr>
          <w:bCs/>
          <w:b/>
        </w:rPr>
        <w:t xml:space="preserve">Strengthen BIR Compliance Training:</w:t>
      </w:r>
      <w:r>
        <w:t xml:space="preserve"> </w:t>
      </w:r>
      <w:r>
        <w:t xml:space="preserve">Conduct mandatory sessions for sales staff on correct VAT invoicing per Philippine regulations – a priority following recent BIR audit trends in Metro Manila.</w:t>
      </w:r>
    </w:p>
    <w:p>
      <w:pPr>
        <w:numPr>
          <w:ilvl w:val="0"/>
          <w:numId w:val="1005"/>
        </w:numPr>
        <w:pStyle w:val="Compact"/>
      </w:pPr>
      <w:r>
        <w:rPr>
          <w:bCs/>
          <w:b/>
        </w:rPr>
        <w:t xml:space="preserve">Targeted Growth Zones:</w:t>
      </w:r>
      <w:r>
        <w:t xml:space="preserve"> </w:t>
      </w:r>
      <w:r>
        <w:t xml:space="preserve">Allocate 25% of Q4 marketing budget to Quezon City (based on its strong growth potential identified in our Manila data analysis).</w:t>
      </w:r>
    </w:p>
    <w:bookmarkEnd w:id="25"/>
    <w:bookmarkStart w:id="26" w:name="vii.-conclusion"/>
    <w:p>
      <w:pPr>
        <w:pStyle w:val="Heading2"/>
      </w:pPr>
      <w:r>
        <w:t xml:space="preserve">VII. Conclusion</w:t>
      </w:r>
    </w:p>
    <w:p>
      <w:pPr>
        <w:pStyle w:val="FirstParagraph"/>
      </w:pPr>
      <w:r>
        <w:t xml:space="preserve">This Sales Report underscores the indispensable role of the Accountant within Pacific Trade Solutions Philippines Inc.'s Manila operations. From ensuring tax compliance with BIR regulations to providing actionable insights for sales strategy, our Accounting Department in Makati serves as the financial backbone for all business activities across the Philippines Manila market. The Q3 2023 results demonstrate robust performance, and we are confident that continued adherence to Philippine accounting standards – coupled with proactive adjustments identified through this report – will drive sustainable growth. All figures presented have been validated by our Accountant team in accordance with Philippine GAAP, making this document a trusted resource for executive decision-making in the Manila business hub.</w:t>
      </w:r>
    </w:p>
    <w:p>
      <w:pPr>
        <w:pStyle w:val="BodyText"/>
      </w:pPr>
      <w:r>
        <w:rPr>
          <w:bCs/>
          <w:b/>
        </w:rPr>
        <w:t xml:space="preserve">Approved By:</w:t>
      </w:r>
      <w:r>
        <w:t xml:space="preserve"> </w:t>
      </w:r>
      <w:r>
        <w:t xml:space="preserve">Carlos Delgado, Chief Financial Officer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Accountant Sales Performance Report - Q3 2023</dc:title>
  <dc:creator/>
  <dc:language>en</dc:language>
  <cp:keywords/>
  <dcterms:created xsi:type="dcterms:W3CDTF">2025-12-11T08:38:13Z</dcterms:created>
  <dcterms:modified xsi:type="dcterms:W3CDTF">2025-12-11T08:38:13Z</dcterms:modified>
</cp:coreProperties>
</file>

<file path=docProps/custom.xml><?xml version="1.0" encoding="utf-8"?>
<Properties xmlns="http://schemas.openxmlformats.org/officeDocument/2006/custom-properties" xmlns:vt="http://schemas.openxmlformats.org/officeDocument/2006/docPropsVTypes"/>
</file>