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Accountant's</w:t>
      </w:r>
      <w:r>
        <w:t xml:space="preserve"> </w:t>
      </w:r>
      <w:r>
        <w:t xml:space="preserve">Analysis</w:t>
      </w:r>
    </w:p>
    <w:bookmarkStart w:id="29" w:name="X551db9e6579c8f435574efe38f237251e304d3f"/>
    <w:p>
      <w:pPr>
        <w:pStyle w:val="Heading1"/>
      </w:pPr>
      <w:r>
        <w:t xml:space="preserve">Qatar Doha Sales Report &amp; Financial Analysis</w:t>
      </w:r>
    </w:p>
    <w:p>
      <w:pPr>
        <w:pStyle w:val="FirstParagraph"/>
      </w:pPr>
      <w:r>
        <w:rPr>
          <w:bCs/>
          <w:b/>
        </w:rPr>
        <w:t xml:space="preserve">Prepared For:</w:t>
      </w:r>
      <w:r>
        <w:t xml:space="preserve"> </w:t>
      </w:r>
      <w:r>
        <w:t xml:space="preserve">Executive Management, Qatar Doha Operations</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[Your Name], Senior Accountant (Qatar Doha Finance Department)</w:t>
      </w:r>
    </w:p>
    <w:p>
      <w:pPr>
        <w:pStyle w:val="BodyText"/>
      </w:pPr>
      <w:r>
        <w:t xml:space="preserve">Al-Nasser Commercial Group | Qatar Doha | www.alnasserqatar.com</w:t>
      </w:r>
    </w:p>
    <w:bookmarkStart w:id="20" w:name="X72d12d81456cb6e87f6e57da0e46191d608b003"/>
    <w:p>
      <w:pPr>
        <w:pStyle w:val="Heading2"/>
      </w:pPr>
      <w:r>
        <w:t xml:space="preserve">1. Introduction: Role of the Accountant in Qatar Doha Sales Reporting</w:t>
      </w:r>
    </w:p>
    <w:p>
      <w:pPr>
        <w:pStyle w:val="FirstParagraph"/>
      </w:pPr>
      <w:r>
        <w:t xml:space="preserve">This comprehensive Sales Report details the financial performance of our operations across Qatar Doha for Q3 2023, prepared with rigorous adherence to International Financial Reporting Standards (IFRS) and Qatari Commercial Law. As the dedicated Accountant responsible for sales analytics in this strategic market, I have conducted a thorough examination of all revenue streams, cost structures, and profitability metrics. This document serves as both a financial record and an actionable business tool for decision-makers navigating Qatar's dynamic economic landscape. The Accountant's role extends beyond number-crunching; it involves translating complex sales data into strategic insights that align with Qatar National Vision 2030 objectives for sustainable economic growth in Doha.</w:t>
      </w:r>
    </w:p>
    <w:bookmarkEnd w:id="20"/>
    <w:bookmarkStart w:id="21" w:name="X5d3eefe2ec1d0745595704e5e506d56bd438c93"/>
    <w:p>
      <w:pPr>
        <w:pStyle w:val="Heading2"/>
      </w:pPr>
      <w:r>
        <w:t xml:space="preserve">2. Sales Performance Overview: Qatar Doha Market Analysis</w:t>
      </w:r>
    </w:p>
    <w:p>
      <w:pPr>
        <w:pStyle w:val="FirstParagraph"/>
      </w:pPr>
      <w:r>
        <w:t xml:space="preserve">The Q3 2023 sales performance across our Doha-based operations demonstrates a 14.7% year-over-year growth, totaling QR 187.5 million against QR 163.4 million in the same period last year. This growth positions us strongly within Qatar's competitive commercial sector, particularly in key Doha districts including West Bay, Lusail, and Al Waab where we maintain flagship retail outlets.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(QR)</w:t>
            </w:r>
          </w:p>
        </w:tc>
        <w:tc>
          <w:tcPr/>
          <w:p>
            <w:pPr>
              <w:pStyle w:val="Compact"/>
              <w:jc w:val="left"/>
            </w:pPr>
            <w:r>
              <w:t xml:space="preserve">Q2 2023 (QR)</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187,500,000</w:t>
            </w:r>
          </w:p>
        </w:tc>
        <w:tc>
          <w:tcPr/>
          <w:p>
            <w:pPr>
              <w:pStyle w:val="Compact"/>
              <w:jc w:val="left"/>
            </w:pPr>
            <w:r>
              <w:t xml:space="preserve">174,800,000</w:t>
            </w:r>
          </w:p>
        </w:tc>
        <w:tc>
          <w:tcPr/>
          <w:p>
            <w:pPr>
              <w:pStyle w:val="Compact"/>
              <w:jc w:val="left"/>
            </w:pPr>
            <w:r>
              <w:t xml:space="preserve">+14.7%</w:t>
            </w:r>
          </w:p>
        </w:tc>
      </w:tr>
      <w:tr>
        <w:tc>
          <w:tcPr/>
          <w:p>
            <w:pPr>
              <w:pStyle w:val="Compact"/>
              <w:jc w:val="left"/>
            </w:pPr>
            <w:r>
              <w:t xml:space="preserve">Gross Profit Margin</w:t>
            </w:r>
          </w:p>
        </w:tc>
        <w:tc>
          <w:tcPr/>
          <w:p>
            <w:pPr>
              <w:pStyle w:val="Compact"/>
              <w:jc w:val="left"/>
            </w:pPr>
            <w:r>
              <w:t xml:space="preserve">38.2%</w:t>
            </w:r>
          </w:p>
        </w:tc>
        <w:tc>
          <w:tcPr/>
          <w:p>
            <w:pPr>
              <w:pStyle w:val="Compact"/>
              <w:jc w:val="left"/>
            </w:pPr>
            <w:r>
              <w:t xml:space="preserve">35.6%</w:t>
            </w:r>
          </w:p>
        </w:tc>
        <w:tc>
          <w:tcPr/>
          <w:p>
            <w:pPr>
              <w:pStyle w:val="Compact"/>
              <w:jc w:val="left"/>
            </w:pPr>
            <w:r>
              <w:t xml:space="preserve">+2.6 pp</w:t>
            </w:r>
          </w:p>
        </w:tc>
      </w:tr>
      <w:tr>
        <w:tc>
          <w:tcPr/>
          <w:p>
            <w:pPr>
              <w:pStyle w:val="Compact"/>
              <w:jc w:val="left"/>
            </w:pPr>
            <w:r>
              <w:t xml:space="preserve">Customer Acquisition Cost (CAC)</w:t>
            </w:r>
          </w:p>
        </w:tc>
        <w:tc>
          <w:tcPr/>
          <w:p>
            <w:pPr>
              <w:pStyle w:val="Compact"/>
              <w:jc w:val="left"/>
            </w:pPr>
            <w:r>
              <w:t xml:space="preserve">QR 185</w:t>
            </w:r>
          </w:p>
        </w:tc>
        <w:tc>
          <w:tcPr/>
          <w:p>
            <w:pPr>
              <w:pStyle w:val="Compact"/>
              <w:jc w:val="left"/>
            </w:pPr>
            <w:r>
              <w:t xml:space="preserve">QR 210</w:t>
            </w:r>
          </w:p>
        </w:tc>
        <w:tc>
          <w:tcPr/>
          <w:p>
            <w:pPr>
              <w:pStyle w:val="Compact"/>
              <w:jc w:val="left"/>
            </w:pPr>
            <w:r>
              <w:t xml:space="preserve">-12.0%</w:t>
            </w:r>
          </w:p>
        </w:tc>
      </w:tr>
    </w:tbl>
    <w:p>
      <w:pPr>
        <w:pStyle w:val="BodyText"/>
      </w:pPr>
      <w:r>
        <w:t xml:space="preserve">This improved margin reflects strategic pricing adjustments and cost optimization initiatives implemented by the Accountant's department following Q2 performance review. The Qatar Doha market showed particular strength in luxury retail (up 23%) and construction materials (up 18%), driven by ongoing infrastructure projects supporting FIFA World Cup legacy development.</w:t>
      </w:r>
    </w:p>
    <w:bookmarkEnd w:id="21"/>
    <w:bookmarkStart w:id="25" w:name="X9bbce2dddd3b986c2ededdfbb65c41554faa205"/>
    <w:p>
      <w:pPr>
        <w:pStyle w:val="Heading2"/>
      </w:pPr>
      <w:r>
        <w:t xml:space="preserve">3. Key Sales Insights from a Qatar Doha Perspective</w:t>
      </w:r>
    </w:p>
    <w:p>
      <w:pPr>
        <w:pStyle w:val="FirstParagraph"/>
      </w:pPr>
      <w:r>
        <w:t xml:space="preserve">As the Accountant handling our Doha operations, I've identified three critical market-specific insights:</w:t>
      </w:r>
    </w:p>
    <w:bookmarkStart w:id="22" w:name="Xb27a4853be6a047677c525bc52d917040574cc5"/>
    <w:p>
      <w:pPr>
        <w:pStyle w:val="Heading3"/>
      </w:pPr>
      <w:r>
        <w:t xml:space="preserve">A. Seasonal Demand Patterns in Qatari Market</w:t>
      </w:r>
    </w:p>
    <w:p>
      <w:pPr>
        <w:pStyle w:val="FirstParagraph"/>
      </w:pPr>
      <w:r>
        <w:t xml:space="preserve">Doha's sales patterns follow distinct Qatari cultural cycles, with significant quarterly spikes during Ramadan (Q2) and Eid holidays (Q4). Our data shows 32% higher sales volume during Ramadan compared to non-holiday periods. This necessitates our Accountant team to implement dynamic inventory financing models that align with the Qatar Doha economic calendar.</w:t>
      </w:r>
    </w:p>
    <w:bookmarkEnd w:id="22"/>
    <w:bookmarkStart w:id="23" w:name="b.-competitive-landscape-analysis"/>
    <w:p>
      <w:pPr>
        <w:pStyle w:val="Heading3"/>
      </w:pPr>
      <w:r>
        <w:t xml:space="preserve">B. Competitive Landscape Analysis</w:t>
      </w:r>
    </w:p>
    <w:p>
      <w:pPr>
        <w:pStyle w:val="FirstParagraph"/>
      </w:pPr>
      <w:r>
        <w:t xml:space="preserve">Comparative analysis against key competitors (Al-Hamad Group, Al-Mannai Corporation) reveals that our 14.7% growth outperforms the Doha retail sector average of 9.2%. The Accountant's department identified that our digital sales channel penetration (38% of total sales) is 22% higher than market competitors, a strategic advantage developed through Qatar Doha's rapidly growing e-commerce ecosystem.</w:t>
      </w:r>
    </w:p>
    <w:bookmarkEnd w:id="23"/>
    <w:bookmarkStart w:id="24" w:name="c.-tax-compliance-impact"/>
    <w:p>
      <w:pPr>
        <w:pStyle w:val="Heading3"/>
      </w:pPr>
      <w:r>
        <w:t xml:space="preserve">C. Tax Compliance Impact</w:t>
      </w:r>
    </w:p>
    <w:p>
      <w:pPr>
        <w:pStyle w:val="FirstParagraph"/>
      </w:pPr>
      <w:r>
        <w:t xml:space="preserve">Qatar's recent tax reforms (including VAT at 5%) have significantly influenced our pricing strategy. As the Accountant responsible for compliance, I've confirmed that our VAT collection process is fully aligned with Ministry of Finance regulations, resulting in zero non-compliance penalties during Q3. This operational excellence directly supports sustainable sales growth in Qatar Doha's regulated environment.</w:t>
      </w:r>
    </w:p>
    <w:bookmarkEnd w:id="24"/>
    <w:bookmarkEnd w:id="25"/>
    <w:bookmarkStart w:id="26" w:name="X3bc0bde8ed858c1e1dce3d0432046364ca820cc"/>
    <w:p>
      <w:pPr>
        <w:pStyle w:val="Heading2"/>
      </w:pPr>
      <w:r>
        <w:t xml:space="preserve">4. Challenges Identified by the Accountant Team</w:t>
      </w:r>
    </w:p>
    <w:p>
      <w:pPr>
        <w:pStyle w:val="FirstParagraph"/>
      </w:pPr>
      <w:r>
        <w:t xml:space="preserve">Despite strong performance, our Sales Report highlights two critical challenges requiring immediate attention:</w:t>
      </w:r>
    </w:p>
    <w:p>
      <w:pPr>
        <w:numPr>
          <w:ilvl w:val="0"/>
          <w:numId w:val="1001"/>
        </w:numPr>
        <w:pStyle w:val="Compact"/>
      </w:pPr>
      <w:r>
        <w:rPr>
          <w:bCs/>
          <w:b/>
        </w:rPr>
        <w:t xml:space="preserve">Supply Chain Disruptions:</w:t>
      </w:r>
      <w:r>
        <w:t xml:space="preserve"> </w:t>
      </w:r>
      <w:r>
        <w:t xml:space="preserve">Global shipping delays have increased cost of goods sold (COGS) by 8.3% in Doha operations. Our Accountant team recommends establishing a local supplier network within Qatar's Industrial Estate to mitigate future disruptions.</w:t>
      </w:r>
    </w:p>
    <w:p>
      <w:pPr>
        <w:numPr>
          <w:ilvl w:val="0"/>
          <w:numId w:val="1001"/>
        </w:numPr>
        <w:pStyle w:val="Compact"/>
      </w:pPr>
      <w:r>
        <w:rPr>
          <w:bCs/>
          <w:b/>
        </w:rPr>
        <w:t xml:space="preserve">Currency Volatility:</w:t>
      </w:r>
      <w:r>
        <w:t xml:space="preserve"> </w:t>
      </w:r>
      <w:r>
        <w:t xml:space="preserve">Fluctuations in USD/QAR exchange rates impacted imported product margins by 4.1%. I've developed a hedging strategy using Qatar Central Bank forex tools to stabilize future procurement costs.</w:t>
      </w:r>
    </w:p>
    <w:bookmarkEnd w:id="26"/>
    <w:bookmarkStart w:id="27" w:name="X0112142473ea4315387d15e3c66b42e720e1cc6"/>
    <w:p>
      <w:pPr>
        <w:pStyle w:val="Heading2"/>
      </w:pPr>
      <w:r>
        <w:t xml:space="preserve">5. Strategic Recommendations from the Accountant</w:t>
      </w:r>
    </w:p>
    <w:p>
      <w:pPr>
        <w:pStyle w:val="FirstParagraph"/>
      </w:pPr>
      <w:r>
        <w:t xml:space="preserve">Based on this comprehensive Sales Report and our operational experience in Qatar Doha, I propose these actionable recommendations:</w:t>
      </w:r>
    </w:p>
    <w:p>
      <w:pPr>
        <w:numPr>
          <w:ilvl w:val="0"/>
          <w:numId w:val="1002"/>
        </w:numPr>
        <w:pStyle w:val="Compact"/>
      </w:pPr>
      <w:r>
        <w:rPr>
          <w:bCs/>
          <w:b/>
        </w:rPr>
        <w:t xml:space="preserve">Local Sourcing Initiative:</w:t>
      </w:r>
      <w:r>
        <w:t xml:space="preserve"> </w:t>
      </w:r>
      <w:r>
        <w:t xml:space="preserve">Allocate QR 15 million for establishing a local manufacturing partnership within Al-Khor Industrial Zone to reduce COGS by 7-9% within 12 months. This aligns with Qatar National Vision's "Qatarization" strategy.</w:t>
      </w:r>
    </w:p>
    <w:p>
      <w:pPr>
        <w:numPr>
          <w:ilvl w:val="0"/>
          <w:numId w:val="1002"/>
        </w:numPr>
        <w:pStyle w:val="Compact"/>
      </w:pPr>
      <w:r>
        <w:rPr>
          <w:bCs/>
          <w:b/>
        </w:rPr>
        <w:t xml:space="preserve">Doha Digital Transformation:</w:t>
      </w:r>
      <w:r>
        <w:t xml:space="preserve"> </w:t>
      </w:r>
      <w:r>
        <w:t xml:space="preserve">Implement AI-driven sales forecasting tools specifically calibrated for Qatari market patterns, increasing forecast accuracy from 78% to 92% and reducing inventory costs by 12%.</w:t>
      </w:r>
    </w:p>
    <w:p>
      <w:pPr>
        <w:numPr>
          <w:ilvl w:val="0"/>
          <w:numId w:val="1002"/>
        </w:numPr>
        <w:pStyle w:val="Compact"/>
      </w:pPr>
      <w:r>
        <w:rPr>
          <w:bCs/>
          <w:b/>
        </w:rPr>
        <w:t xml:space="preserve">Tax Efficiency Program:</w:t>
      </w:r>
      <w:r>
        <w:t xml:space="preserve"> </w:t>
      </w:r>
      <w:r>
        <w:t xml:space="preserve">Structure Q4 promotions around Qatar's VAT exemptions for "Qatar Vision-Compliant" products to capture additional customer traffic during the holiday season, projected to generate QR 8.3M in incremental sales.</w:t>
      </w:r>
    </w:p>
    <w:p>
      <w:pPr>
        <w:pStyle w:val="FirstParagraph"/>
      </w:pPr>
      <w:r>
        <w:t xml:space="preserve">These recommendations are designed specifically for the operational realities of Qatar Doha, considering local regulations, cultural preferences, and economic policies.</w:t>
      </w:r>
    </w:p>
    <w:bookmarkEnd w:id="27"/>
    <w:bookmarkStart w:id="28" w:name="X5a9de6f7977df2ee75e13137301c9488c774927"/>
    <w:p>
      <w:pPr>
        <w:pStyle w:val="Heading2"/>
      </w:pPr>
      <w:r>
        <w:t xml:space="preserve">6. Conclusion: The Accountant's Strategic Value in Qatar Doha</w:t>
      </w:r>
    </w:p>
    <w:p>
      <w:pPr>
        <w:pStyle w:val="FirstParagraph"/>
      </w:pPr>
      <w:r>
        <w:t xml:space="preserve">This Sales Report demonstrates that our Qatar Doha operations are not merely performing well but are strategically positioned for accelerated growth within the regional market. As the Accountant managing these critical financial operations, I emphasize that accurate sales reporting is not an administrative function—it is a strategic business enabler. The data presented in this report directly informs decisions about market expansion into new Doha districts (particularly Lusail City), product portfolio adjustments, and capital allocation for future infrastructure projects.</w:t>
      </w:r>
    </w:p>
    <w:p>
      <w:pPr>
        <w:pStyle w:val="BodyText"/>
      </w:pPr>
      <w:r>
        <w:t xml:space="preserve">In the context of Qatar's vision to become a knowledge-based economy by 2030, our financial transparency and data-driven approach—exemplified in this Sales Report—position us as a leader among Qatari commercial entities. The Accountant team's commitment to rigorous compliance with Qatar Central Bank regulations and Ministry of Finance standards has been instrumental in maintaining our strong market position during the post-World Cup economic transition.</w:t>
      </w:r>
    </w:p>
    <w:p>
      <w:pPr>
        <w:pStyle w:val="BodyText"/>
      </w:pPr>
      <w:r>
        <w:t xml:space="preserve">Looking ahead, I will continue to refine our sales analytics framework specifically for the Qatar Doha market, ensuring every report delivers actionable intelligence that drives sustainable revenue growth. This Sales Report represents not just a financial summary, but a strategic roadmap for our continued success in one of the Middle East's most dynamic business environments.</w:t>
      </w:r>
    </w:p>
    <w:p>
      <w:pPr>
        <w:pStyle w:val="BodyText"/>
      </w:pPr>
      <w:r>
        <w:t xml:space="preserve">Respectfully Submitted,</w:t>
      </w:r>
    </w:p>
    <w:p>
      <w:pPr>
        <w:pStyle w:val="BodyText"/>
      </w:pPr>
      <w:r>
        <w:t xml:space="preserve">[Your Full Name]</w:t>
      </w:r>
    </w:p>
    <w:p>
      <w:pPr>
        <w:pStyle w:val="BodyText"/>
      </w:pPr>
      <w:r>
        <w:t xml:space="preserve">Senior Accountant | Qatar Doha Finance Department</w:t>
      </w:r>
    </w:p>
    <w:p>
      <w:pPr>
        <w:pStyle w:val="BodyText"/>
      </w:pPr>
      <w:r>
        <w:t xml:space="preserve">Al-Nasser Commercial Group</w:t>
      </w:r>
    </w:p>
    <w:p>
      <w:pPr>
        <w:pStyle w:val="BodyText"/>
      </w:pPr>
      <w:r>
        <w:t xml:space="preserve">Email: accountant.doha@alnasserqatar.com | Phone: +974 4488 1234</w:t>
      </w:r>
    </w:p>
    <w:p>
      <w:pPr>
        <w:pStyle w:val="BodyText"/>
      </w:pPr>
      <w:r>
        <w:t xml:space="preserve">Disclaimer: This report complies with Qatar Doha Commercial Law No. 14 of 2019 and IFRS standards. All figures are pre-tax and include VAT at 5% as per Qatari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Accountant's Analysis</dc:title>
  <dc:creator/>
  <dc:language>en</dc:language>
  <cp:keywords/>
  <dcterms:created xsi:type="dcterms:W3CDTF">2025-12-09T04:27:12Z</dcterms:created>
  <dcterms:modified xsi:type="dcterms:W3CDTF">2025-12-09T04:27:12Z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