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Performance</w:t>
      </w:r>
      <w:r>
        <w:t xml:space="preserve"> </w:t>
      </w:r>
      <w:r>
        <w:t xml:space="preserve">Analysis</w:t>
      </w:r>
      <w:r>
        <w:t xml:space="preserve"> </w:t>
      </w:r>
      <w:r>
        <w:t xml:space="preserve">for</w:t>
      </w:r>
      <w:r>
        <w:t xml:space="preserve"> </w:t>
      </w:r>
      <w:r>
        <w:t xml:space="preserve">Accountant</w:t>
      </w:r>
      <w:r>
        <w:t xml:space="preserve"> </w:t>
      </w:r>
      <w:r>
        <w:t xml:space="preserve">in</w:t>
      </w:r>
      <w:r>
        <w:t xml:space="preserve"> </w:t>
      </w:r>
      <w:r>
        <w:t xml:space="preserve">Senegal</w:t>
      </w:r>
      <w:r>
        <w:t xml:space="preserve"> </w:t>
      </w:r>
      <w:r>
        <w:t xml:space="preserve">Dakar</w:t>
      </w:r>
    </w:p>
    <w:bookmarkStart w:id="26" w:name="X0f1b7d489204d1f2d38acf65439f410a8c5a8b9"/>
    <w:p>
      <w:pPr>
        <w:pStyle w:val="Heading1"/>
      </w:pPr>
      <w:r>
        <w:t xml:space="preserve">SALES REPORT &amp; FINANCIAL ANALYSIS FOR ACCOUNTANT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Executive Board</w:t>
      </w:r>
      <w:r>
        <w:br/>
      </w:r>
      <w:r>
        <w:rPr>
          <w:bCs/>
          <w:b/>
        </w:rPr>
        <w:t xml:space="preserve">Prepared By:</w:t>
      </w:r>
      <w:r>
        <w:t xml:space="preserve"> </w:t>
      </w:r>
      <w:r>
        <w:t xml:space="preserve">Senior Accountant, Dakar Regional Office</w:t>
      </w:r>
    </w:p>
    <w:bookmarkStart w:id="20" w:name="executive-summary"/>
    <w:p>
      <w:pPr>
        <w:pStyle w:val="Heading2"/>
      </w:pPr>
      <w:r>
        <w:t xml:space="preserve">1. Executive Summary</w:t>
      </w:r>
    </w:p>
    <w:p>
      <w:pPr>
        <w:pStyle w:val="FirstParagraph"/>
      </w:pPr>
      <w:r>
        <w:t xml:space="preserve">This comprehensive Sales Report details the financial performance of our commercial operations across Senegal Dakar during Q3 2023. As the designated Accountant for this critical West African market, I have conducted an in-depth analysis of sales data, revenue streams, and cost structures. The report confirms that Dakar remains our most profitable urban center in Senegal, contributing 68% of total country revenue despite intense local competition. Key highlights include a 12.7% year-over-year sales growth and improved margin stability following strategic tax optimization implemented by this office's Accountant team. This Sales Report serves as the foundational financial document for quarterly decision-making in Senegal Dakar.</w:t>
      </w:r>
    </w:p>
    <w:bookmarkEnd w:id="20"/>
    <w:bookmarkStart w:id="21" w:name="Xb9f87c9c69a21723382721a481eb1cf73eb5763"/>
    <w:p>
      <w:pPr>
        <w:pStyle w:val="Heading2"/>
      </w:pPr>
      <w:r>
        <w:t xml:space="preserve">2. Sales Performance Analysis: Dakar Market Focus</w:t>
      </w:r>
    </w:p>
    <w:p>
      <w:pPr>
        <w:pStyle w:val="FirstParagraph"/>
      </w:pPr>
      <w:r>
        <w:t xml:space="preserve">The Dakar sales territory (encompassing the city and immediate suburbs) generated total revenue of 14.7 billion CFA francs ($25,800 USD equivalent at current rates) during July-September 2023. This represents significant growth from Q2's 13.1 billion CFA francs, driven primarily by:</w:t>
      </w:r>
    </w:p>
    <w:p>
      <w:pPr>
        <w:numPr>
          <w:ilvl w:val="0"/>
          <w:numId w:val="1001"/>
        </w:numPr>
        <w:pStyle w:val="Compact"/>
      </w:pPr>
      <w:r>
        <w:rPr>
          <w:bCs/>
          <w:b/>
        </w:rPr>
        <w:t xml:space="preserve">Product Line Expansion:</w:t>
      </w:r>
      <w:r>
        <w:t xml:space="preserve"> </w:t>
      </w:r>
      <w:r>
        <w:t xml:space="preserve">34% increase in high-margin specialty goods sales following market research conducted by our Dakar Accountant team</w:t>
      </w:r>
    </w:p>
    <w:p>
      <w:pPr>
        <w:numPr>
          <w:ilvl w:val="0"/>
          <w:numId w:val="1001"/>
        </w:numPr>
        <w:pStyle w:val="Compact"/>
      </w:pPr>
      <w:r>
        <w:rPr>
          <w:bCs/>
          <w:b/>
        </w:rPr>
        <w:t xml:space="preserve">Government Contract Success:</w:t>
      </w:r>
      <w:r>
        <w:t xml:space="preserve"> </w:t>
      </w:r>
      <w:r>
        <w:t xml:space="preserve">Secured two municipal supply contracts for educational materials worth 8.2 billion CFA francs</w:t>
      </w:r>
    </w:p>
    <w:p>
      <w:pPr>
        <w:numPr>
          <w:ilvl w:val="0"/>
          <w:numId w:val="1001"/>
        </w:numPr>
        <w:pStyle w:val="Compact"/>
      </w:pPr>
      <w:r>
        <w:rPr>
          <w:bCs/>
          <w:b/>
        </w:rPr>
        <w:t xml:space="preserve">Local Partnership Growth:</w:t>
      </w:r>
      <w:r>
        <w:t xml:space="preserve"> </w:t>
      </w:r>
      <w:r>
        <w:t xml:space="preserve">New distribution alliances with 7 regional wholesalers in Dakar area</w:t>
      </w:r>
    </w:p>
    <w:p>
      <w:pPr>
        <w:pStyle w:val="FirstParagraph"/>
      </w:pPr>
      <w:r>
        <w:t xml:space="preserve">The Accountant team's meticulous tracking of sales channels revealed that e-commerce platforms contributed 28% of total revenue – up from 19% in Q2. This growth is directly attributable to the digital transformation initiative we championed as Accountants, implementing new POS systems integrated with our financial management software. The Sales Report confirms this digital channel now yields higher customer retention (73%) versus traditional retail (58%).</w:t>
      </w:r>
    </w:p>
    <w:bookmarkEnd w:id="21"/>
    <w:bookmarkStart w:id="22" w:name="Xaf71be85fe6c168ce4f7d924dc9ce597b9ec7f4"/>
    <w:p>
      <w:pPr>
        <w:pStyle w:val="Heading2"/>
      </w:pPr>
      <w:r>
        <w:t xml:space="preserve">3. Financial Management Insights from Senegal Dakar Operations</w:t>
      </w:r>
    </w:p>
    <w:p>
      <w:pPr>
        <w:pStyle w:val="FirstParagraph"/>
      </w:pPr>
      <w:r>
        <w:t xml:space="preserve">As the Accountant responsible for fiscal compliance in Senegal Dakar, I've implemented critical financial controls that enhanced reporting accuracy by 40%. Our Sales Report highlights these key financial improvements: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Financial Metric</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Change</w:t>
            </w:r>
          </w:p>
        </w:tc>
      </w:tr>
      <w:tr>
        <w:tc>
          <w:tcPr/>
          <w:p>
            <w:pPr>
              <w:pStyle w:val="Compact"/>
              <w:jc w:val="left"/>
            </w:pPr>
            <w:r>
              <w:t xml:space="preserve">Total Revenue (CFA)</w:t>
            </w:r>
          </w:p>
        </w:tc>
        <w:tc>
          <w:tcPr/>
          <w:p>
            <w:pPr>
              <w:pStyle w:val="Compact"/>
              <w:jc w:val="left"/>
            </w:pPr>
            <w:r>
              <w:t xml:space="preserve">13,100,000,000</w:t>
            </w:r>
          </w:p>
        </w:tc>
        <w:tc>
          <w:tcPr/>
          <w:p>
            <w:pPr>
              <w:pStyle w:val="Compact"/>
              <w:jc w:val="left"/>
            </w:pPr>
            <w:r>
              <w:t xml:space="preserve">14,725,643,218</w:t>
            </w:r>
          </w:p>
        </w:tc>
        <w:tc>
          <w:tcPr/>
          <w:p>
            <w:pPr>
              <w:pStyle w:val="Compact"/>
              <w:jc w:val="left"/>
            </w:pPr>
            <w:r>
              <w:t xml:space="preserve">+12.7%</w:t>
            </w:r>
          </w:p>
        </w:tc>
      </w:tr>
      <w:tr>
        <w:tc>
          <w:tcPr/>
          <w:p>
            <w:pPr>
              <w:pStyle w:val="Compact"/>
              <w:jc w:val="left"/>
            </w:pPr>
            <w:r>
              <w:t xml:space="preserve">Gross Margin %</w:t>
            </w:r>
          </w:p>
        </w:tc>
        <w:tc>
          <w:tcPr/>
          <w:p>
            <w:pPr>
              <w:pStyle w:val="Compact"/>
              <w:jc w:val="left"/>
            </w:pPr>
            <w:r>
              <w:t xml:space="preserve">58.3%</w:t>
            </w:r>
          </w:p>
        </w:tc>
        <w:tc>
          <w:tcPr/>
          <w:p>
            <w:pPr>
              <w:pStyle w:val="Compact"/>
              <w:jc w:val="left"/>
            </w:pPr>
            <w:r>
              <w:t xml:space="preserve">60.9%</w:t>
            </w:r>
          </w:p>
        </w:tc>
        <w:tc>
          <w:tcPr/>
          <w:p>
            <w:pPr>
              <w:pStyle w:val="Compact"/>
              <w:jc w:val="left"/>
            </w:pPr>
            <w:r>
              <w:t xml:space="preserve">+2.6 pts</w:t>
            </w:r>
          </w:p>
        </w:tc>
      </w:tr>
      <w:tr>
        <w:tc>
          <w:tcPr/>
          <w:p>
            <w:pPr>
              <w:pStyle w:val="Compact"/>
              <w:jc w:val="left"/>
            </w:pPr>
            <w:r>
              <w:t xml:space="preserve">Operational Costs (% of Revenue)</w:t>
            </w:r>
          </w:p>
        </w:tc>
        <w:tc>
          <w:tcPr/>
          <w:p>
            <w:pPr>
              <w:pStyle w:val="Compact"/>
              <w:jc w:val="left"/>
            </w:pPr>
            <w:r>
              <w:t xml:space="preserve">37.1%</w:t>
            </w:r>
          </w:p>
        </w:tc>
        <w:tc>
          <w:tcPr/>
          <w:p>
            <w:pPr>
              <w:pStyle w:val="Compact"/>
              <w:jc w:val="left"/>
            </w:pPr>
            <w:r>
              <w:t xml:space="preserve">34.8%</w:t>
            </w:r>
          </w:p>
        </w:tc>
        <w:tc>
          <w:tcPr/>
          <w:p>
            <w:pPr>
              <w:pStyle w:val="Compact"/>
              <w:jc w:val="left"/>
            </w:pPr>
            <w:r>
              <w:t xml:space="preserve">-2.3 pts</w:t>
            </w:r>
          </w:p>
        </w:tc>
      </w:tr>
      <w:tr>
        <w:tc>
          <w:tcPr/>
          <w:p>
            <w:pPr>
              <w:pStyle w:val="Compact"/>
              <w:jc w:val="left"/>
            </w:pPr>
            <w:r>
              <w:t xml:space="preserve">Cash Conversion Cycle (Days)</w:t>
            </w:r>
          </w:p>
        </w:tc>
        <w:tc>
          <w:tcPr/>
          <w:p>
            <w:pPr>
              <w:pStyle w:val="Compact"/>
              <w:jc w:val="left"/>
            </w:pPr>
            <w:r>
              <w:t xml:space="preserve">58</w:t>
            </w:r>
          </w:p>
        </w:tc>
        <w:tc>
          <w:tcPr/>
          <w:p>
            <w:pPr>
              <w:pStyle w:val="Compact"/>
              <w:jc w:val="left"/>
            </w:pPr>
            <w:r>
              <w:t xml:space="preserve">42</w:t>
            </w:r>
          </w:p>
        </w:tc>
        <w:tc>
          <w:tcPr/>
          <w:p>
            <w:pPr>
              <w:pStyle w:val="Compact"/>
              <w:jc w:val="left"/>
            </w:pPr>
            <w:r>
              <w:t xml:space="preserve">-16 days</w:t>
            </w:r>
          </w:p>
        </w:tc>
      </w:tr>
    </w:tbl>
    <w:p>
      <w:pPr>
        <w:pStyle w:val="BodyText"/>
      </w:pPr>
      <w:r>
        <w:t xml:space="preserve">The 34.8% operational cost ratio is below Senegal Dakar industry benchmarks (average 39.5%), achieved through our Accountant-led initiatives: renegotiating warehouse leases at Port de Dakar, implementing energy-efficient lighting across all retail sites, and optimizing fuel consumption for our delivery fleet. The reduced cash conversion cycle directly benefits the Accountant team's ability to forecast working capital needs more accurately for Senegal operations.</w:t>
      </w:r>
    </w:p>
    <w:bookmarkEnd w:id="22"/>
    <w:bookmarkStart w:id="23" w:name="Xa4751546a7a81b52d9d7c4a0595986e27b29c3e"/>
    <w:p>
      <w:pPr>
        <w:pStyle w:val="Heading2"/>
      </w:pPr>
      <w:r>
        <w:t xml:space="preserve">4. Dakar-Specific Challenges &amp; Accountant Solutions</w:t>
      </w:r>
    </w:p>
    <w:p>
      <w:pPr>
        <w:pStyle w:val="FirstParagraph"/>
      </w:pPr>
      <w:r>
        <w:t xml:space="preserve">Operating as an Accountant in Senegal Dakar presents unique challenges that our Sales Report addresses proactively:</w:t>
      </w:r>
    </w:p>
    <w:p>
      <w:pPr>
        <w:numPr>
          <w:ilvl w:val="0"/>
          <w:numId w:val="1002"/>
        </w:numPr>
        <w:pStyle w:val="Compact"/>
      </w:pPr>
      <w:r>
        <w:rPr>
          <w:bCs/>
          <w:b/>
        </w:rPr>
        <w:t xml:space="preserve">Currency Volatility:</w:t>
      </w:r>
      <w:r>
        <w:t xml:space="preserve"> </w:t>
      </w:r>
      <w:r>
        <w:t xml:space="preserve">The CFA franc's devaluation against USD required real-time adjustments to sales pricing. Our Accountant team developed dynamic pricing models that maintained profit margins despite a 14% CFA depreciation during Q3.</w:t>
      </w:r>
    </w:p>
    <w:p>
      <w:pPr>
        <w:numPr>
          <w:ilvl w:val="0"/>
          <w:numId w:val="1002"/>
        </w:numPr>
        <w:pStyle w:val="Compact"/>
      </w:pPr>
      <w:r>
        <w:rPr>
          <w:bCs/>
          <w:b/>
        </w:rPr>
        <w:t xml:space="preserve">Regulatory Compliance:</w:t>
      </w:r>
      <w:r>
        <w:t xml:space="preserve"> </w:t>
      </w:r>
      <w:r>
        <w:t xml:space="preserve">Complex Senegalese tax laws necessitated quarterly VAT reconciliation. The Dakar Accountant office now achieves 98% compliance rate through our automated reporting system, avoiding potential penalties.</w:t>
      </w:r>
    </w:p>
    <w:p>
      <w:pPr>
        <w:numPr>
          <w:ilvl w:val="0"/>
          <w:numId w:val="1002"/>
        </w:numPr>
        <w:pStyle w:val="Compact"/>
      </w:pPr>
      <w:r>
        <w:rPr>
          <w:bCs/>
          <w:b/>
        </w:rPr>
        <w:t xml:space="preserve">Cash Flow Management:</w:t>
      </w:r>
      <w:r>
        <w:t xml:space="preserve"> </w:t>
      </w:r>
      <w:r>
        <w:t xml:space="preserve">High demand for instant payment from local suppliers (common in Dakar business culture) was mitigated by establishing a dedicated cash reserve of 4.2 billion CFA francs – managed directly by our Accountant team.</w:t>
      </w:r>
    </w:p>
    <w:bookmarkEnd w:id="23"/>
    <w:bookmarkStart w:id="24" w:name="X5abe87c7e812db3d1a9a6bc3d7d10678620e08b"/>
    <w:p>
      <w:pPr>
        <w:pStyle w:val="Heading2"/>
      </w:pPr>
      <w:r>
        <w:t xml:space="preserve">5. Strategic Recommendations for Future Sales Performance</w:t>
      </w:r>
    </w:p>
    <w:p>
      <w:pPr>
        <w:pStyle w:val="FirstParagraph"/>
      </w:pPr>
      <w:r>
        <w:t xml:space="preserve">Based on this Sales Report and our Accountant analysis, we recommend three priority actions for Senegal Dakar operations:</w:t>
      </w:r>
    </w:p>
    <w:p>
      <w:pPr>
        <w:numPr>
          <w:ilvl w:val="0"/>
          <w:numId w:val="1003"/>
        </w:numPr>
        <w:pStyle w:val="Compact"/>
      </w:pPr>
      <w:r>
        <w:rPr>
          <w:bCs/>
          <w:b/>
        </w:rPr>
        <w:t xml:space="preserve">Expand Digital Footprint:</w:t>
      </w:r>
      <w:r>
        <w:t xml:space="preserve"> </w:t>
      </w:r>
      <w:r>
        <w:t xml:space="preserve">Allocate 15% of Q4 marketing budget to enhance e-commerce capabilities, targeting the rapidly growing smartphone user base in Dakar (78% penetration rate).</w:t>
      </w:r>
    </w:p>
    <w:p>
      <w:pPr>
        <w:numPr>
          <w:ilvl w:val="0"/>
          <w:numId w:val="1003"/>
        </w:numPr>
        <w:pStyle w:val="Compact"/>
      </w:pPr>
      <w:r>
        <w:rPr>
          <w:bCs/>
          <w:b/>
        </w:rPr>
        <w:t xml:space="preserve">Local Tax Optimization:</w:t>
      </w:r>
      <w:r>
        <w:t xml:space="preserve"> </w:t>
      </w:r>
      <w:r>
        <w:t xml:space="preserve">Partner with Senegalese tax specialists to leverage new industrial incentives for foreign exporters – potential 2.5% reduction in effective tax rate.</w:t>
      </w:r>
    </w:p>
    <w:p>
      <w:pPr>
        <w:numPr>
          <w:ilvl w:val="0"/>
          <w:numId w:val="1003"/>
        </w:numPr>
        <w:pStyle w:val="Compact"/>
      </w:pPr>
      <w:r>
        <w:rPr>
          <w:bCs/>
          <w:b/>
        </w:rPr>
        <w:t xml:space="preserve">Dakar-Specific Product Line:</w:t>
      </w:r>
      <w:r>
        <w:t xml:space="preserve"> </w:t>
      </w:r>
      <w:r>
        <w:t xml:space="preserve">Develop two new products tailored to Senegalese consumer preferences, identified through our Accountant's analysis of purchase patterns in Dakar's Marché de Waly Sow and Souleymane Diop districts.</w:t>
      </w:r>
    </w:p>
    <w:bookmarkEnd w:id="24"/>
    <w:bookmarkStart w:id="25" w:name="conclusion"/>
    <w:p>
      <w:pPr>
        <w:pStyle w:val="Heading2"/>
      </w:pPr>
      <w:r>
        <w:t xml:space="preserve">6. Conclusion</w:t>
      </w:r>
    </w:p>
    <w:p>
      <w:pPr>
        <w:pStyle w:val="FirstParagraph"/>
      </w:pPr>
      <w:r>
        <w:t xml:space="preserve">This Sales Report underscores the indispensable role of the Accountant function in driving profitability within Senegal Dakar's dynamic market. Our financial stewardship has directly contributed to a 12.7% sales growth while improving gross margins by 2.6 percentage points – results that exceed both company targets and regional benchmarks. As we continue expanding our presence in Dakar, the Accountant team will remain central to navigating Senegalese economic complexities, ensuring every sales decision is financially validated through rigorous analysis.</w:t>
      </w:r>
    </w:p>
    <w:p>
      <w:pPr>
        <w:pStyle w:val="BodyText"/>
      </w:pPr>
      <w:r>
        <w:t xml:space="preserve">The success demonstrated in this Sales Report positions us for even greater growth in Q4 2023. I recommend that management approve the proposed tax optimization initiative immediately, as it promises to unlock an additional 370 million CFA francs in net revenue before year-end. The Accountant's strategic focus on Dakar's unique market conditions remains our strongest competitive advantage.</w:t>
      </w:r>
    </w:p>
    <w:p>
      <w:pPr>
        <w:pStyle w:val="BodyText"/>
      </w:pPr>
      <w:r>
        <w:t xml:space="preserve">"In Senegal Dakar, financial precision is not just an accounting function – it's the engine of commercial success." – Senior Accountant, Dakar Regional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Performance Analysis for Accountant in Senegal Dakar</dc:title>
  <dc:creator/>
  <dc:language>en</dc:language>
  <cp:keywords/>
  <dcterms:created xsi:type="dcterms:W3CDTF">2026-07-23T01:59:50Z</dcterms:created>
  <dcterms:modified xsi:type="dcterms:W3CDTF">2026-07-23T01:59:50Z</dcterms:modified>
</cp:coreProperties>
</file>

<file path=docProps/custom.xml><?xml version="1.0" encoding="utf-8"?>
<Properties xmlns="http://schemas.openxmlformats.org/officeDocument/2006/custom-properties" xmlns:vt="http://schemas.openxmlformats.org/officeDocument/2006/docPropsVTypes"/>
</file>