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Accountant-Focused</w:t>
      </w:r>
      <w:r>
        <w:t xml:space="preserve"> </w:t>
      </w:r>
      <w:r>
        <w:t xml:space="preserve">Analysis</w:t>
      </w:r>
      <w:r>
        <w:t xml:space="preserve"> </w:t>
      </w:r>
      <w:r>
        <w:t xml:space="preserve">for</w:t>
      </w:r>
      <w:r>
        <w:t xml:space="preserve"> </w:t>
      </w:r>
      <w:r>
        <w:t xml:space="preserve">Spain</w:t>
      </w:r>
      <w:r>
        <w:t xml:space="preserve"> </w:t>
      </w:r>
      <w:r>
        <w:t xml:space="preserve">Barcelona</w:t>
      </w:r>
      <w:r>
        <w:t xml:space="preserve"> </w:t>
      </w:r>
      <w:r>
        <w:t xml:space="preserve">Operations</w:t>
      </w:r>
    </w:p>
    <w:bookmarkStart w:id="26" w:name="Xe7fab84b603d5e1be977e468e2ebbb7c35212a7"/>
    <w:p>
      <w:pPr>
        <w:pStyle w:val="Heading1"/>
      </w:pPr>
      <w:r>
        <w:t xml:space="preserve">Monthly Sales Report &amp; Strategic Insights: Barcelona Accountant's Comprehensive Overview</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Accounting Department, Barcelona Branch |</w:t>
      </w:r>
      <w:r>
        <w:t xml:space="preserve"> </w:t>
      </w:r>
      <w:r>
        <w:rPr>
          <w:bCs/>
          <w:b/>
        </w:rPr>
        <w:t xml:space="preserve">Report Period:</w:t>
      </w:r>
      <w:r>
        <w:t xml:space="preserve"> </w:t>
      </w:r>
      <w:r>
        <w:t xml:space="preserve">September 2023</w:t>
      </w:r>
    </w:p>
    <w:bookmarkStart w:id="20" w:name="Xf9d65402f45487648f17c3fbd2cf2e3a6fc922a"/>
    <w:p>
      <w:pPr>
        <w:pStyle w:val="Heading2"/>
      </w:pPr>
      <w:r>
        <w:t xml:space="preserve">Executive Summary: Sales Performance &amp; Accountant Oversight in Spain Barcelona</w:t>
      </w:r>
    </w:p>
    <w:p>
      <w:pPr>
        <w:pStyle w:val="FirstParagraph"/>
      </w:pPr>
      <w:r>
        <w:t xml:space="preserve">This Sales Report provides a detailed analysis of commercial performance across the Spain Barcelona region for the month of September 2023, specifically curated for the use of our dedicated Accountant within the local office. The report emphasizes financial accuracy, compliance with Spanish accounting standards (PGC), and VAT (IVA) implications critical to operations in Barcelona. Total sales reached €148,500, representing a 7% month-over-month increase and meeting 92% of quarterly targets. The Barcelona Accountant's role in validating these figures against local tax regulations was pivotal to this result.</w:t>
      </w:r>
    </w:p>
    <w:bookmarkEnd w:id="20"/>
    <w:bookmarkStart w:id="21" w:name="X330fa23bff95ee13ac5e1f131a398378426738d"/>
    <w:p>
      <w:pPr>
        <w:pStyle w:val="Heading2"/>
      </w:pPr>
      <w:r>
        <w:t xml:space="preserve">Key Sales Metrics &amp; Accountant-Verified Data</w:t>
      </w:r>
    </w:p>
    <w:p>
      <w:pPr>
        <w:pStyle w:val="FirstParagraph"/>
      </w:pPr>
      <w:r>
        <w:t xml:space="preserve">The following metrics are presented with direct reference to the Spain Barcelona market dynamics and the Accountant's reconciliation responsibilities:</w:t>
      </w:r>
    </w:p>
    <w:p>
      <w:pPr>
        <w:numPr>
          <w:ilvl w:val="0"/>
          <w:numId w:val="1001"/>
        </w:numPr>
        <w:pStyle w:val="Compact"/>
      </w:pPr>
      <w:r>
        <w:rPr>
          <w:bCs/>
          <w:b/>
        </w:rPr>
        <w:t xml:space="preserve">Revenue Breakdown (Barcelona Focus):</w:t>
      </w:r>
      <w:r>
        <w:t xml:space="preserve"> </w:t>
      </w:r>
      <w:r>
        <w:t xml:space="preserve">€148,500 (Total), including €98,200 from B2B services (primarily in the tourism and tech sectors) and €50,300 from B2C retail. The Accountant confirmed 18% of this revenue was subject to Spain's standard IVA rate of 21%, requiring precise invoicing per Spanish Commercial Code.</w:t>
      </w:r>
    </w:p>
    <w:p>
      <w:pPr>
        <w:numPr>
          <w:ilvl w:val="0"/>
          <w:numId w:val="1001"/>
        </w:numPr>
        <w:pStyle w:val="Compact"/>
      </w:pPr>
      <w:r>
        <w:rPr>
          <w:bCs/>
          <w:b/>
        </w:rPr>
        <w:t xml:space="preserve">Top-Performing Products/Services:</w:t>
      </w:r>
      <w:r>
        <w:t xml:space="preserve"> </w:t>
      </w:r>
      <w:r>
        <w:t xml:space="preserve">Barcelona-based clients drove 65% of B2B revenue, particularly in digital marketing packages (€48,000) and accounting software subscriptions (€32,100). The Accountant verified that all IVA calculations on these services adhered to Spain's Law 37/1992 on VAT.</w:t>
      </w:r>
    </w:p>
    <w:p>
      <w:pPr>
        <w:numPr>
          <w:ilvl w:val="0"/>
          <w:numId w:val="1001"/>
        </w:numPr>
        <w:pStyle w:val="Compact"/>
      </w:pPr>
      <w:r>
        <w:rPr>
          <w:bCs/>
          <w:b/>
        </w:rPr>
        <w:t xml:space="preserve">Customer Acquisition Cost (CAC):</w:t>
      </w:r>
      <w:r>
        <w:t xml:space="preserve"> </w:t>
      </w:r>
      <w:r>
        <w:t xml:space="preserve">€425 per new client in Barcelona—a 5% improvement from August. The Accountant cross-referenced marketing spend against sales leads in the local CRM, ensuring accurate cost attribution per Spanish accounting practice guidelines.</w:t>
      </w:r>
    </w:p>
    <w:bookmarkEnd w:id="21"/>
    <w:bookmarkStart w:id="22" w:name="Xefa0238a6874ff0d5c46725b35621107185ac0e"/>
    <w:p>
      <w:pPr>
        <w:pStyle w:val="Heading2"/>
      </w:pPr>
      <w:r>
        <w:t xml:space="preserve">Barcelona-Specific Market Analysis &amp; Accountant Insights</w:t>
      </w:r>
    </w:p>
    <w:p>
      <w:pPr>
        <w:pStyle w:val="FirstParagraph"/>
      </w:pPr>
      <w:r>
        <w:t xml:space="preserve">The Spain Barcelona market exhibited distinct seasonal trends impacting sales and accounting workflows:</w:t>
      </w:r>
    </w:p>
    <w:p>
      <w:pPr>
        <w:pStyle w:val="BodyText"/>
      </w:pPr>
      <w:r>
        <w:rPr>
          <w:bCs/>
          <w:b/>
        </w:rPr>
        <w:t xml:space="preserve">Tourism Sector Influence:</w:t>
      </w:r>
      <w:r>
        <w:t xml:space="preserve"> </w:t>
      </w:r>
      <w:r>
        <w:t xml:space="preserve">September saw a 15% surge in sales from tourism-related businesses (e.g., hotels, travel agencies), aligning with post-summer demand. The Accountant noted that 32% of these transactions required simplified IVA handling under Spain's "Servicios Turísticos" exemption protocol, necessitating meticulous documentation to avoid tax disputes.</w:t>
      </w:r>
    </w:p>
    <w:p>
      <w:pPr>
        <w:pStyle w:val="BodyText"/>
      </w:pPr>
      <w:r>
        <w:rPr>
          <w:bCs/>
          <w:b/>
        </w:rPr>
        <w:t xml:space="preserve">Seasonal Workforce Impact:</w:t>
      </w:r>
      <w:r>
        <w:t xml:space="preserve"> </w:t>
      </w:r>
      <w:r>
        <w:t xml:space="preserve">Barcelona's temporary staff influx (e.g., event workers in Poblenou and Barceloneta) caused a 12% fluctuation in service delivery timelines. The Accountant implemented a real-time sales-to-cash reconciliation process, reducing invoice disputes by 18% through early detection of mismatched delivery dates against IVA tax periods.</w:t>
      </w:r>
    </w:p>
    <w:p>
      <w:pPr>
        <w:pStyle w:val="BodyText"/>
      </w:pPr>
      <w:r>
        <w:rPr>
          <w:bCs/>
          <w:b/>
        </w:rPr>
        <w:t xml:space="preserve">Compliance Alert:</w:t>
      </w:r>
      <w:r>
        <w:t xml:space="preserve"> </w:t>
      </w:r>
      <w:r>
        <w:t xml:space="preserve">A critical finding involved 7 invoices (total €12,400) issued to non-EU clients without proper VAT MOSS declarations. The Barcelona Accountant promptly corrected these per Spain's Regulation 282/2011, avoiding potential penalties from the Agencia Tributaria.</w:t>
      </w:r>
    </w:p>
    <w:bookmarkEnd w:id="22"/>
    <w:bookmarkStart w:id="23" w:name="Xd42839cd76859d94f444b0920966122c8078172"/>
    <w:p>
      <w:pPr>
        <w:pStyle w:val="Heading2"/>
      </w:pPr>
      <w:r>
        <w:t xml:space="preserve">Accountant's Strategic Role in Sales Reporting</w:t>
      </w:r>
    </w:p>
    <w:p>
      <w:pPr>
        <w:pStyle w:val="FirstParagraph"/>
      </w:pPr>
      <w:r>
        <w:t xml:space="preserve">This Sales Report transcends data aggregation; it serves as a compliance-driven tool for the Accountant to:</w:t>
      </w:r>
    </w:p>
    <w:p>
      <w:pPr>
        <w:numPr>
          <w:ilvl w:val="0"/>
          <w:numId w:val="1002"/>
        </w:numPr>
        <w:pStyle w:val="Compact"/>
      </w:pPr>
      <w:r>
        <w:rPr>
          <w:bCs/>
          <w:b/>
        </w:rPr>
        <w:t xml:space="preserve">Validate IVA Accuracy:</w:t>
      </w:r>
      <w:r>
        <w:t xml:space="preserve"> </w:t>
      </w:r>
      <w:r>
        <w:t xml:space="preserve">Reconciling all sales entries against Spain's 21% standard VAT rate (or applicable reduced rates) and ensuring zero errors in the monthly IVA return filed with Hacienda Pública.</w:t>
      </w:r>
    </w:p>
    <w:p>
      <w:pPr>
        <w:numPr>
          <w:ilvl w:val="0"/>
          <w:numId w:val="1002"/>
        </w:numPr>
        <w:pStyle w:val="Compact"/>
      </w:pPr>
      <w:r>
        <w:rPr>
          <w:bCs/>
          <w:b/>
        </w:rPr>
        <w:t xml:space="preserve">Ensure PGC Compliance:</w:t>
      </w:r>
      <w:r>
        <w:t xml:space="preserve"> </w:t>
      </w:r>
      <w:r>
        <w:t xml:space="preserve">Mapping sales data to the Spanish General Accounting Plan (PGC), critical for financial statements submitted to Barcelona's Mercantile Registry. For example, revenue recognition for multi-year software contracts followed PGC 2019 guidelines.</w:t>
      </w:r>
    </w:p>
    <w:p>
      <w:pPr>
        <w:numPr>
          <w:ilvl w:val="0"/>
          <w:numId w:val="1002"/>
        </w:numPr>
        <w:pStyle w:val="Compact"/>
      </w:pPr>
      <w:r>
        <w:rPr>
          <w:bCs/>
          <w:b/>
        </w:rPr>
        <w:t xml:space="preserve">Enable Data-Driven Sales Decisions:</w:t>
      </w:r>
      <w:r>
        <w:t xml:space="preserve"> </w:t>
      </w:r>
      <w:r>
        <w:t xml:space="preserve">Providing the sales team with real-time insights into client profitability after accounting for IVA and local operational costs (e.g., Barcelona’s municipal tax of 1.5% on commercial properties).</w:t>
      </w:r>
    </w:p>
    <w:bookmarkEnd w:id="23"/>
    <w:bookmarkStart w:id="24" w:name="X308bfc376140afe6abf45684bec3cd096e395b5"/>
    <w:p>
      <w:pPr>
        <w:pStyle w:val="Heading2"/>
      </w:pPr>
      <w:r>
        <w:t xml:space="preserve">Challenges &amp; Recommendations for Spain Barcelona Operations</w:t>
      </w:r>
    </w:p>
    <w:p>
      <w:pPr>
        <w:pStyle w:val="FirstParagraph"/>
      </w:pPr>
      <w:r>
        <w:t xml:space="preserve">Based on the September Sales Report, the Accountant identified three key challenges requiring action:</w:t>
      </w:r>
    </w:p>
    <w:p>
      <w:pPr>
        <w:numPr>
          <w:ilvl w:val="0"/>
          <w:numId w:val="1003"/>
        </w:numPr>
        <w:pStyle w:val="Compact"/>
      </w:pPr>
      <w:r>
        <w:rPr>
          <w:bCs/>
          <w:b/>
        </w:rPr>
        <w:t xml:space="preserve">IVA Documentation Gaps:</w:t>
      </w:r>
      <w:r>
        <w:t xml:space="preserve"> </w:t>
      </w:r>
      <w:r>
        <w:t xml:space="preserve">19% of B2C invoices lacked client tax ID (NIF) details. Recommendation: Implement a mandatory NIF field in Barcelona’s sales portal by November 2023, aligned with Spain's Law 58/2003 on Tax Identification.</w:t>
      </w:r>
    </w:p>
    <w:p>
      <w:pPr>
        <w:numPr>
          <w:ilvl w:val="0"/>
          <w:numId w:val="1003"/>
        </w:numPr>
        <w:pStyle w:val="Compact"/>
      </w:pPr>
      <w:r>
        <w:rPr>
          <w:bCs/>
          <w:b/>
        </w:rPr>
        <w:t xml:space="preserve">Seasonal Cash Flow Pressure:</w:t>
      </w:r>
      <w:r>
        <w:t xml:space="preserve"> </w:t>
      </w:r>
      <w:r>
        <w:t xml:space="preserve">Post-summer sales dip (October–November) may strain liquidity. Recommendation: The Accountant will develop a cash flow model using Barcelona’s historical data to secure a short-term credit line from Banco Santander.</w:t>
      </w:r>
    </w:p>
    <w:bookmarkEnd w:id="24"/>
    <w:bookmarkStart w:id="25" w:name="X3173a91ba878a1605733e582b538eee717fecfa"/>
    <w:p>
      <w:pPr>
        <w:pStyle w:val="Heading2"/>
      </w:pPr>
      <w:r>
        <w:t xml:space="preserve">Conclusion: Integrating Sales Strategy with Barcelona Accounting Excellence</w:t>
      </w:r>
    </w:p>
    <w:p>
      <w:pPr>
        <w:pStyle w:val="FirstParagraph"/>
      </w:pPr>
      <w:r>
        <w:t xml:space="preserve">This Sales Report underscores that sustainable growth in Spain Barcelona is intrinsically linked to accounting precision. The Accountant’s vigilance in ensuring VAT compliance, PGC alignment, and real-time financial transparency directly impacts sales performance and client trust. As Barcelona’s economy remains highly competitive—particularly in tourism and tech—the role of the local Accountant is no longer transactional but strategic.</w:t>
      </w:r>
    </w:p>
    <w:p>
      <w:pPr>
        <w:pStyle w:val="BodyText"/>
      </w:pPr>
      <w:r>
        <w:t xml:space="preserve">By leveraging this Sales Report as a foundational document, our Barcelona Accountant transforms raw sales data into actionable compliance insights. This approach not only mitigates tax risks with Spain’s Revenue Agency but also empowers the sales team to prioritize high-margin, low-compliance-risk opportunities. In the dynamic market of Spain Barcelona, where regulatory adherence is non-negotiable and customer expectations are rising, this integrated Sales Report process has become indispensable.</w:t>
      </w:r>
    </w:p>
    <w:p>
      <w:pPr>
        <w:pStyle w:val="BodyText"/>
      </w:pPr>
      <w:r>
        <w:rPr>
          <w:iCs/>
          <w:i/>
        </w:rPr>
        <w:t xml:space="preserve">Prepared by:</w:t>
      </w:r>
      <w:r>
        <w:t xml:space="preserve"> </w:t>
      </w:r>
      <w:r>
        <w:rPr>
          <w:bCs/>
          <w:b/>
        </w:rPr>
        <w:t xml:space="preserve">María López</w:t>
      </w:r>
      <w:r>
        <w:t xml:space="preserve">, Senior Accountant | Barcelona Office | [Company Name]</w:t>
      </w:r>
    </w:p>
    <w:p>
      <w:pPr>
        <w:pStyle w:val="BodyText"/>
      </w:pPr>
      <w:r>
        <w:rPr>
          <w:iCs/>
          <w:i/>
        </w:rPr>
        <w:t xml:space="preserve">Email:</w:t>
      </w:r>
      <w:r>
        <w:t xml:space="preserve"> </w:t>
      </w:r>
      <w:r>
        <w:t xml:space="preserve">m.lopez@company.es |</w:t>
      </w:r>
      <w:r>
        <w:t xml:space="preserve"> </w:t>
      </w:r>
      <w:r>
        <w:rPr>
          <w:iCs/>
          <w:i/>
        </w:rPr>
        <w:t xml:space="preserve">Tel:</w:t>
      </w:r>
      <w:r>
        <w:t xml:space="preserve"> </w:t>
      </w:r>
      <w:r>
        <w:t xml:space="preserve">+34 93 123 4567 |</w:t>
      </w:r>
      <w:r>
        <w:t xml:space="preserve"> </w:t>
      </w:r>
      <w:r>
        <w:rPr>
          <w:iCs/>
          <w:i/>
        </w:rPr>
        <w:t xml:space="preserve">Filing Reference:</w:t>
      </w:r>
      <w:r>
        <w:t xml:space="preserve"> </w:t>
      </w:r>
      <w:r>
        <w:t xml:space="preserve">BR-AR-202309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Accountant-Focused Analysis for Spain Barcelona Operations</dc:title>
  <dc:creator/>
  <dc:language>en</dc:language>
  <cp:keywords/>
  <dcterms:created xsi:type="dcterms:W3CDTF">2026-07-21T05:04:38Z</dcterms:created>
  <dcterms:modified xsi:type="dcterms:W3CDTF">2026-07-21T05:04:38Z</dcterms:modified>
</cp:coreProperties>
</file>

<file path=docProps/custom.xml><?xml version="1.0" encoding="utf-8"?>
<Properties xmlns="http://schemas.openxmlformats.org/officeDocument/2006/custom-properties" xmlns:vt="http://schemas.openxmlformats.org/officeDocument/2006/docPropsVTypes"/>
</file>