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Spain</w:t>
      </w:r>
      <w:r>
        <w:t xml:space="preserve"> </w:t>
      </w:r>
      <w:r>
        <w:t xml:space="preserve">Madrid</w:t>
      </w:r>
      <w:r>
        <w:t xml:space="preserve"> </w:t>
      </w:r>
      <w:r>
        <w:t xml:space="preserve">Market</w:t>
      </w:r>
    </w:p>
    <w:bookmarkStart w:id="31" w:name="X9e2fee7677311a828452decd64b3691b598d19f"/>
    <w:p>
      <w:pPr>
        <w:pStyle w:val="Heading1"/>
      </w:pPr>
      <w:r>
        <w:t xml:space="preserve">ANNUAL SALES REPORT: ACCOUNTANT ANALYSIS &amp; FINANCIAL INSIGHTS FOR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Madrid Branch</w:t>
      </w:r>
      <w:r>
        <w:br/>
      </w:r>
      <w:r>
        <w:rPr>
          <w:bCs/>
          <w:b/>
        </w:rPr>
        <w:t xml:space="preserve">Prepared By:</w:t>
      </w:r>
      <w:r>
        <w:t xml:space="preserve"> </w:t>
      </w:r>
      <w:r>
        <w:t xml:space="preserve">María López, Senior Accountant (Spain Madrid Certified)</w:t>
      </w:r>
    </w:p>
    <w:bookmarkStart w:id="20" w:name="executive-summary"/>
    <w:p>
      <w:pPr>
        <w:pStyle w:val="Heading2"/>
      </w:pPr>
      <w:r>
        <w:t xml:space="preserve">1. Executive Summary</w:t>
      </w:r>
    </w:p>
    <w:p>
      <w:pPr>
        <w:pStyle w:val="FirstParagraph"/>
      </w:pPr>
      <w:r>
        <w:t xml:space="preserve">This comprehensive Sales Report delivers a detailed analysis of Q1-Q4 2023 sales performance for our Madrid-based operations. As the designated Accountant responsible for financial reporting in Spain Madrid, I have compiled and verified all data against Spanish tax regulations (IRPF, VAT) and local commercial standards. The report reveals a 12.7% year-over-year sales growth in the Madrid market, driven by strategic B2B contracts in the technology sector. Crucially, our Accountant team ensured full compliance with Spain's</w:t>
      </w:r>
      <w:r>
        <w:t xml:space="preserve"> </w:t>
      </w:r>
      <w:r>
        <w:rPr>
          <w:iCs/>
          <w:i/>
        </w:rPr>
        <w:t xml:space="preserve">Ley General de la Defensa de los Consumidores</w:t>
      </w:r>
      <w:r>
        <w:t xml:space="preserve"> </w:t>
      </w:r>
      <w:r>
        <w:t xml:space="preserve">(Law on Consumer Protection), which directly impacted our sales documentation and invoicing processes. This document serves as the definitive Sales Report for internal decision-making and external regulatory filings in Spain Madrid.</w:t>
      </w:r>
    </w:p>
    <w:bookmarkEnd w:id="20"/>
    <w:bookmarkStart w:id="21" w:name="methodology-compliance-framework"/>
    <w:p>
      <w:pPr>
        <w:pStyle w:val="Heading2"/>
      </w:pPr>
      <w:r>
        <w:t xml:space="preserve">2. Methodology &amp; Compliance Framework</w:t>
      </w:r>
    </w:p>
    <w:p>
      <w:pPr>
        <w:pStyle w:val="FirstParagraph"/>
      </w:pPr>
      <w:r>
        <w:t xml:space="preserve">As the Accountant overseeing all financial records for Spain Madrid, I implemented a rigorous methodology adhering to Spanish accounting standards (PGC 2007) and EU Directives. All sales data was extracted from our SAP ERP system, validated against bank statements, and cross-referenced with local tax authority (Agencia Tributaria) records. The Sales Report includes:</w:t>
      </w:r>
    </w:p>
    <w:p>
      <w:pPr>
        <w:numPr>
          <w:ilvl w:val="0"/>
          <w:numId w:val="1001"/>
        </w:numPr>
        <w:pStyle w:val="Compact"/>
      </w:pPr>
      <w:r>
        <w:t xml:space="preserve">Real-time VAT reconciliation per Comunidad de Madrid requirements</w:t>
      </w:r>
    </w:p>
    <w:p>
      <w:pPr>
        <w:numPr>
          <w:ilvl w:val="0"/>
          <w:numId w:val="1001"/>
        </w:numPr>
        <w:pStyle w:val="Compact"/>
      </w:pPr>
      <w:r>
        <w:t xml:space="preserve">Monthly sales trend analysis segmented by Madrid districts (Chamartín, Salamanca, Centro)</w:t>
      </w:r>
    </w:p>
    <w:p>
      <w:pPr>
        <w:numPr>
          <w:ilvl w:val="0"/>
          <w:numId w:val="1001"/>
        </w:numPr>
        <w:pStyle w:val="Compact"/>
      </w:pPr>
      <w:r>
        <w:t xml:space="preserve">Compliance verification with Spain's 2023 Digital Tax Reform</w:t>
      </w:r>
    </w:p>
    <w:p>
      <w:pPr>
        <w:pStyle w:val="FirstParagraph"/>
      </w:pPr>
      <w:r>
        <w:t xml:space="preserve">Every metric in this Sales Report was certified by my accounting team to meet the stringent requirements of the Spanish Ministry of Finance. This is critical for our Madrid operations, where tax audits have increased by 40% since 2021.</w:t>
      </w:r>
    </w:p>
    <w:bookmarkEnd w:id="21"/>
    <w:bookmarkStart w:id="23" w:name="madrid-market-performance-q1-q4-2023"/>
    <w:p>
      <w:pPr>
        <w:pStyle w:val="Heading2"/>
      </w:pPr>
      <w:r>
        <w:t xml:space="preserve">3. Madrid Market Performance: Q1-Q4 2023</w:t>
      </w:r>
    </w:p>
    <w:p>
      <w:pPr>
        <w:pStyle w:val="FirstParagraph"/>
      </w:pPr>
      <w:r>
        <w:rPr>
          <w:bCs/>
          <w:b/>
        </w:rPr>
        <w:t xml:space="preserve">Overall Sales Growth:</w:t>
      </w:r>
      <w:r>
        <w:t xml:space="preserve"> </w:t>
      </w:r>
      <w:r>
        <w:t xml:space="preserve">€8.7M (vs. €7.7M in 2022) - representing a 13% increase in Spain Madrid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w:t>
            </w:r>
          </w:p>
        </w:tc>
        <w:tc>
          <w:tcPr/>
          <w:p>
            <w:pPr>
              <w:pStyle w:val="Compact"/>
              <w:jc w:val="left"/>
            </w:pPr>
            <w:r>
              <w:t xml:space="preserve">YoY Growth</w:t>
            </w:r>
          </w:p>
        </w:tc>
        <w:tc>
          <w:tcPr/>
          <w:p>
            <w:pPr>
              <w:pStyle w:val="Compact"/>
              <w:jc w:val="left"/>
            </w:pPr>
            <w:r>
              <w:t xml:space="preserve">Key Madrid Market Drivers</w:t>
            </w:r>
          </w:p>
        </w:tc>
      </w:tr>
      <w:tr>
        <w:tc>
          <w:tcPr/>
          <w:p>
            <w:pPr>
              <w:pStyle w:val="Compact"/>
              <w:jc w:val="left"/>
            </w:pPr>
            <w:r>
              <w:t xml:space="preserve">H1 2023</w:t>
            </w:r>
          </w:p>
        </w:tc>
        <w:tc>
          <w:tcPr/>
          <w:p>
            <w:pPr>
              <w:pStyle w:val="Compact"/>
              <w:jc w:val="left"/>
            </w:pPr>
            <w:r>
              <w:t xml:space="preserve">€4.1M</w:t>
            </w:r>
          </w:p>
        </w:tc>
        <w:tc>
          <w:tcPr/>
          <w:p>
            <w:pPr>
              <w:pStyle w:val="Compact"/>
              <w:jc w:val="left"/>
            </w:pPr>
            <w:r>
              <w:t xml:space="preserve">+8.2%</w:t>
            </w:r>
          </w:p>
        </w:tc>
        <w:tc>
          <w:tcPr/>
          <w:p>
            <w:pPr>
              <w:pStyle w:val="Compact"/>
              <w:jc w:val="left"/>
            </w:pPr>
            <w:r>
              <w:t xml:space="preserve">E-commerce expansion in Chamberí district; new client acquisition (57% from Madrid startups)</w:t>
            </w:r>
          </w:p>
        </w:tc>
      </w:tr>
      <w:tr>
        <w:tc>
          <w:tcPr/>
          <w:p>
            <w:pPr>
              <w:pStyle w:val="Compact"/>
              <w:jc w:val="left"/>
            </w:pPr>
            <w:r>
              <w:t xml:space="preserve">H2 2023</w:t>
            </w:r>
          </w:p>
        </w:tc>
        <w:tc>
          <w:tcPr/>
          <w:p>
            <w:pPr>
              <w:pStyle w:val="Compact"/>
              <w:jc w:val="left"/>
            </w:pPr>
            <w:r>
              <w:t xml:space="preserve">€4.6M</w:t>
            </w:r>
          </w:p>
        </w:tc>
        <w:tc>
          <w:tcPr/>
          <w:p>
            <w:pPr>
              <w:pStyle w:val="Compact"/>
              <w:jc w:val="left"/>
            </w:pPr>
            <w:r>
              <w:t xml:space="preserve">+17.5%</w:t>
            </w:r>
          </w:p>
        </w:tc>
        <w:tc>
          <w:tcPr/>
          <w:p>
            <w:pPr>
              <w:pStyle w:val="Compact"/>
              <w:jc w:val="left"/>
            </w:pPr>
            <w:r>
              <w:t xml:space="preserve">Tech sector boom (38% of sales); success in Madrid Chamber of Commerce B2B events</w:t>
            </w:r>
          </w:p>
        </w:tc>
      </w:tr>
    </w:tbl>
    <w:bookmarkStart w:id="22" w:name="Xe7146eb5271d6f6534b042278ed1a8c967e973e"/>
    <w:p>
      <w:pPr>
        <w:pStyle w:val="Heading3"/>
      </w:pPr>
      <w:r>
        <w:t xml:space="preserve">Regional Breakdown: Madrid Districts Analysis</w:t>
      </w:r>
    </w:p>
    <w:p>
      <w:pPr>
        <w:pStyle w:val="FirstParagraph"/>
      </w:pPr>
      <w:r>
        <w:t xml:space="preserve">As the Accountant for Spain Madrid, I identified significant regional variations:</w:t>
      </w:r>
    </w:p>
    <w:p>
      <w:pPr>
        <w:numPr>
          <w:ilvl w:val="0"/>
          <w:numId w:val="1002"/>
        </w:numPr>
        <w:pStyle w:val="Compact"/>
      </w:pPr>
      <w:r>
        <w:rPr>
          <w:bCs/>
          <w:b/>
        </w:rPr>
        <w:t xml:space="preserve">Salamanca &amp; Chamartín:</w:t>
      </w:r>
      <w:r>
        <w:t xml:space="preserve"> </w:t>
      </w:r>
      <w:r>
        <w:t xml:space="preserve">42% of total sales (premium clients, average transaction €18,500)</w:t>
      </w:r>
    </w:p>
    <w:p>
      <w:pPr>
        <w:numPr>
          <w:ilvl w:val="0"/>
          <w:numId w:val="1002"/>
        </w:numPr>
        <w:pStyle w:val="Compact"/>
      </w:pPr>
      <w:r>
        <w:rPr>
          <w:bCs/>
          <w:b/>
        </w:rPr>
        <w:t xml:space="preserve">Centro &amp; Malasaña:</w:t>
      </w:r>
      <w:r>
        <w:t xml:space="preserve"> </w:t>
      </w:r>
      <w:r>
        <w:t xml:space="preserve">31% of sales (growth in service subscriptions; 27% YoY increase)</w:t>
      </w:r>
    </w:p>
    <w:p>
      <w:pPr>
        <w:numPr>
          <w:ilvl w:val="0"/>
          <w:numId w:val="1002"/>
        </w:numPr>
        <w:pStyle w:val="Compact"/>
      </w:pPr>
      <w:r>
        <w:rPr>
          <w:bCs/>
          <w:b/>
        </w:rPr>
        <w:t xml:space="preserve">Outskirts (Las Tablas, Arganda):</w:t>
      </w:r>
      <w:r>
        <w:t xml:space="preserve"> </w:t>
      </w:r>
      <w:r>
        <w:t xml:space="preserve">27% of sales (volume-driven B2B contracts; highest growth at +21%)</w:t>
      </w:r>
    </w:p>
    <w:p>
      <w:pPr>
        <w:pStyle w:val="FirstParagraph"/>
      </w:pPr>
      <w:r>
        <w:t xml:space="preserve">This district-specific analysis directly informs our Madrid branch's marketing strategy and resource allocation. The Sales Report highlights that our Accountant team’s segmentation has reduced customer acquisition costs by 18% in high-growth areas.</w:t>
      </w:r>
    </w:p>
    <w:bookmarkEnd w:id="22"/>
    <w:bookmarkEnd w:id="23"/>
    <w:bookmarkStart w:id="27" w:name="X0d0a37dea8694f9953e1c4bb10d5f0d2ad31cd8"/>
    <w:p>
      <w:pPr>
        <w:pStyle w:val="Heading2"/>
      </w:pPr>
      <w:r>
        <w:t xml:space="preserve">4. Critical Sales Insights from Spain Madrid Operations</w:t>
      </w:r>
    </w:p>
    <w:p>
      <w:pPr>
        <w:pStyle w:val="FirstParagraph"/>
      </w:pPr>
      <w:r>
        <w:t xml:space="preserve">After thorough analysis as the Accountant for this region, I identify three pivotal insights:</w:t>
      </w:r>
    </w:p>
    <w:bookmarkStart w:id="24" w:name="X57a485aca0f3b2306195920a76482ffd0d8a8f1"/>
    <w:p>
      <w:pPr>
        <w:pStyle w:val="Heading3"/>
      </w:pPr>
      <w:r>
        <w:t xml:space="preserve">a) VAT Compliance Impact on Sales Conversion</w:t>
      </w:r>
    </w:p>
    <w:p>
      <w:pPr>
        <w:pStyle w:val="FirstParagraph"/>
      </w:pPr>
      <w:r>
        <w:t xml:space="preserve">Spain Madrid's 21% standard VAT rate requires meticulous invoicing. Our Sales Report shows a 98.7% invoice accuracy rate (vs. industry average 92%) due to our Accountant team’s real-time verification system. This directly increased sales conversion by 6%, as clients in Madrid prefer compliant vendors under</w:t>
      </w:r>
      <w:r>
        <w:t xml:space="preserve"> </w:t>
      </w:r>
      <w:r>
        <w:rPr>
          <w:iCs/>
          <w:i/>
        </w:rPr>
        <w:t xml:space="preserve">Real Decreto-ley 14/2023</w:t>
      </w:r>
      <w:r>
        <w:t xml:space="preserve">.</w:t>
      </w:r>
    </w:p>
    <w:bookmarkEnd w:id="24"/>
    <w:bookmarkStart w:id="25" w:name="b-seasonal-patterns-in-madrid-market"/>
    <w:p>
      <w:pPr>
        <w:pStyle w:val="Heading3"/>
      </w:pPr>
      <w:r>
        <w:t xml:space="preserve">b) Seasonal Patterns in Madrid Market</w:t>
      </w:r>
    </w:p>
    <w:p>
      <w:pPr>
        <w:pStyle w:val="FirstParagraph"/>
      </w:pPr>
      <w:r>
        <w:t xml:space="preserve">Unlike national trends, Madrid exhibits strong Q4 growth (December sales up 35% vs. November). The Accountant team's historical analysis revealed this pattern is linked to:</w:t>
      </w:r>
    </w:p>
    <w:p>
      <w:pPr>
        <w:numPr>
          <w:ilvl w:val="0"/>
          <w:numId w:val="1003"/>
        </w:numPr>
        <w:pStyle w:val="Compact"/>
      </w:pPr>
      <w:r>
        <w:t xml:space="preserve">Madrid businesses' fiscal year-end spending (June-December)</w:t>
      </w:r>
    </w:p>
    <w:p>
      <w:pPr>
        <w:numPr>
          <w:ilvl w:val="0"/>
          <w:numId w:val="1003"/>
        </w:numPr>
        <w:pStyle w:val="Compact"/>
      </w:pPr>
      <w:r>
        <w:t xml:space="preserve">Local tax incentives for early-year investments</w:t>
      </w:r>
    </w:p>
    <w:p>
      <w:pPr>
        <w:pStyle w:val="FirstParagraph"/>
      </w:pPr>
      <w:r>
        <w:t xml:space="preserve">This insight has been integrated into our Sales Report forecasting model for Spain Madrid.</w:t>
      </w:r>
    </w:p>
    <w:bookmarkEnd w:id="25"/>
    <w:bookmarkStart w:id="26" w:name="c-digital-transformation-impact"/>
    <w:p>
      <w:pPr>
        <w:pStyle w:val="Heading3"/>
      </w:pPr>
      <w:r>
        <w:t xml:space="preserve">c) Digital Transformation Impact</w:t>
      </w:r>
    </w:p>
    <w:p>
      <w:pPr>
        <w:pStyle w:val="FirstParagraph"/>
      </w:pPr>
      <w:r>
        <w:t xml:space="preserve">Our Madrid digital sales channel (via app/website) grew by 41% YoY. The Accountant confirmed this was the fastest-growing revenue stream, generating €2.1M in Q4 2023. This validates our investment in Spain Madrid's local e-commerce infrastructure.</w:t>
      </w:r>
    </w:p>
    <w:bookmarkEnd w:id="26"/>
    <w:bookmarkEnd w:id="27"/>
    <w:bookmarkStart w:id="28" w:name="X71667f0aae506ebda879cc0cf25011225642571"/>
    <w:p>
      <w:pPr>
        <w:pStyle w:val="Heading2"/>
      </w:pPr>
      <w:r>
        <w:t xml:space="preserve">5. Comparative Analysis vs Budget &amp; Competitors</w:t>
      </w:r>
    </w:p>
    <w:p>
      <w:pPr>
        <w:pStyle w:val="FirstParagraph"/>
      </w:pPr>
      <w:r>
        <w:t xml:space="preserve">The Sales Report compares actuals against our Madrid 2023 budget and competitor benchmarks (based on Spanish Chamber of Commerce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Actual (€)</w:t>
            </w:r>
          </w:p>
        </w:tc>
        <w:tc>
          <w:tcPr/>
          <w:p>
            <w:pPr>
              <w:pStyle w:val="Compact"/>
              <w:jc w:val="left"/>
            </w:pPr>
            <w:r>
              <w:t xml:space="preserve">Budget (€)</w:t>
            </w:r>
          </w:p>
        </w:tc>
        <w:tc>
          <w:tcPr/>
          <w:p>
            <w:pPr>
              <w:pStyle w:val="Compact"/>
              <w:jc w:val="left"/>
            </w:pPr>
            <w:r>
              <w:t xml:space="preserve">Deviation</w:t>
            </w:r>
          </w:p>
        </w:tc>
      </w:tr>
      <w:tr>
        <w:tc>
          <w:tcPr/>
          <w:p>
            <w:pPr>
              <w:pStyle w:val="Compact"/>
              <w:jc w:val="left"/>
            </w:pPr>
            <w:r>
              <w:t xml:space="preserve">Total Sales</w:t>
            </w:r>
          </w:p>
        </w:tc>
        <w:tc>
          <w:tcPr/>
          <w:p>
            <w:pPr>
              <w:pStyle w:val="Compact"/>
              <w:jc w:val="left"/>
            </w:pPr>
            <w:r>
              <w:t xml:space="preserve">8,700,000</w:t>
            </w:r>
          </w:p>
        </w:tc>
        <w:tc>
          <w:tcPr/>
          <w:p>
            <w:pPr>
              <w:pStyle w:val="Compact"/>
              <w:jc w:val="left"/>
            </w:pPr>
            <w:r>
              <w:t xml:space="preserve">8,250,000</w:t>
            </w:r>
          </w:p>
        </w:tc>
        <w:tc>
          <w:tcPr/>
          <w:p>
            <w:pPr>
              <w:pStyle w:val="Compact"/>
              <w:jc w:val="left"/>
            </w:pPr>
            <w:r>
              <w:t xml:space="preserve">+5.4%</w:t>
            </w:r>
          </w:p>
        </w:tc>
      </w:tr>
      <w:tr>
        <w:tc>
          <w:tcPr/>
          <w:p>
            <w:pPr>
              <w:pStyle w:val="Compact"/>
              <w:jc w:val="left"/>
            </w:pPr>
            <w:r>
              <w:t xml:space="preserve">Digital Sales (Madrid)</w:t>
            </w:r>
          </w:p>
        </w:tc>
        <w:tc>
          <w:tcPr/>
          <w:p>
            <w:pPr>
              <w:pStyle w:val="Compact"/>
              <w:jc w:val="left"/>
            </w:pPr>
            <w:r>
              <w:t xml:space="preserve">2,118,659</w:t>
            </w:r>
          </w:p>
        </w:tc>
        <w:tc>
          <w:tcPr/>
          <w:p>
            <w:pPr>
              <w:pStyle w:val="Compact"/>
              <w:jc w:val="left"/>
            </w:pPr>
            <w:r>
              <w:t xml:space="preserve">1,734,522</w:t>
            </w:r>
          </w:p>
        </w:tc>
        <w:tc>
          <w:tcPr/>
          <w:p>
            <w:pPr>
              <w:pStyle w:val="Compact"/>
              <w:jc w:val="left"/>
            </w:pPr>
            <w:r>
              <w:t xml:space="preserve">+22.0%</w:t>
            </w:r>
          </w:p>
        </w:tc>
      </w:tr>
      <w:tr>
        <w:tc>
          <w:tcPr/>
          <w:p>
            <w:pPr>
              <w:pStyle w:val="Compact"/>
              <w:jc w:val="left"/>
            </w:pPr>
            <w:r>
              <w:t xml:space="preserve">Client Acquisition Cost (MAC)</w:t>
            </w:r>
          </w:p>
        </w:tc>
        <w:tc>
          <w:tcPr/>
          <w:p>
            <w:pPr>
              <w:pStyle w:val="Compact"/>
              <w:jc w:val="left"/>
            </w:pPr>
            <w:r>
              <w:t xml:space="preserve">€347</w:t>
            </w:r>
          </w:p>
        </w:tc>
        <w:tc>
          <w:tcPr/>
          <w:p>
            <w:pPr>
              <w:pStyle w:val="Compact"/>
              <w:jc w:val="left"/>
            </w:pPr>
            <w:r>
              <w:t xml:space="preserve">€405</w:t>
            </w:r>
          </w:p>
        </w:tc>
        <w:tc>
          <w:tcPr/>
          <w:p>
            <w:pPr>
              <w:pStyle w:val="Compact"/>
              <w:jc w:val="left"/>
            </w:pPr>
            <w:r>
              <w:t xml:space="preserve">-14.3%</w:t>
            </w:r>
          </w:p>
        </w:tc>
      </w:tr>
    </w:tbl>
    <w:bookmarkEnd w:id="28"/>
    <w:bookmarkStart w:id="29" w:name="X72d5eeccec1ae633cda980ab6406d472ad05f94"/>
    <w:p>
      <w:pPr>
        <w:pStyle w:val="Heading2"/>
      </w:pPr>
      <w:r>
        <w:t xml:space="preserve">6. Accountant Recommendations for Spain Madrid Growth</w:t>
      </w:r>
    </w:p>
    <w:p>
      <w:pPr>
        <w:pStyle w:val="FirstParagraph"/>
      </w:pPr>
      <w:r>
        <w:t xml:space="preserve">Based on this Sales Report and my role as the Madrid Accountant, I propose three strategic actions:</w:t>
      </w:r>
    </w:p>
    <w:p>
      <w:pPr>
        <w:numPr>
          <w:ilvl w:val="0"/>
          <w:numId w:val="1004"/>
        </w:numPr>
        <w:pStyle w:val="Compact"/>
      </w:pPr>
      <w:r>
        <w:rPr>
          <w:bCs/>
          <w:b/>
        </w:rPr>
        <w:t xml:space="preserve">Expand Tech Sector Focus:</w:t>
      </w:r>
      <w:r>
        <w:t xml:space="preserve"> </w:t>
      </w:r>
      <w:r>
        <w:t xml:space="preserve">Allocate 30% of Q1 2024 marketing budget to Madrid's startup incubators (e.g., CIC Madrid). The Sales Report shows tech clients have 3.2x higher lifetime value.</w:t>
      </w:r>
    </w:p>
    <w:p>
      <w:pPr>
        <w:numPr>
          <w:ilvl w:val="0"/>
          <w:numId w:val="1004"/>
        </w:numPr>
        <w:pStyle w:val="Compact"/>
      </w:pPr>
      <w:r>
        <w:rPr>
          <w:bCs/>
          <w:b/>
        </w:rPr>
        <w:t xml:space="preserve">Regional Pricing Strategy:</w:t>
      </w:r>
      <w:r>
        <w:t xml:space="preserve"> </w:t>
      </w:r>
      <w:r>
        <w:t xml:space="preserve">Introduce district-specific pricing (e.g., 5% discount for Salamanca clients) based on the Sales Report's margin analysis.</w:t>
      </w:r>
    </w:p>
    <w:bookmarkEnd w:id="29"/>
    <w:bookmarkStart w:id="30" w:name="conclusion"/>
    <w:p>
      <w:pPr>
        <w:pStyle w:val="Heading2"/>
      </w:pPr>
      <w:r>
        <w:t xml:space="preserve">7. Conclusion</w:t>
      </w:r>
    </w:p>
    <w:p>
      <w:pPr>
        <w:pStyle w:val="FirstParagraph"/>
      </w:pPr>
      <w:r>
        <w:t xml:space="preserve">This Sales Report confirms Spain Madrid as our highest-performing regional market, driven by strategic alignment between sales execution and accounting compliance. The Accountant team’s rigorous financial oversight – ensuring 100% adherence to Spanish tax laws while optimizing sales processes – has been instrumental in achieving our targets. As the designated Accountant for Madrid operations, I emphasize that future success hinges on embedding these insights directly into our sales training programs and CRM system.</w:t>
      </w:r>
    </w:p>
    <w:p>
      <w:pPr>
        <w:pStyle w:val="BodyText"/>
      </w:pPr>
      <w:r>
        <w:t xml:space="preserve">The data presented here is certified under Article 16 of Spain’s</w:t>
      </w:r>
      <w:r>
        <w:t xml:space="preserve"> </w:t>
      </w:r>
      <w:r>
        <w:rPr>
          <w:iCs/>
          <w:i/>
        </w:rPr>
        <w:t xml:space="preserve">Ley de Contabilidad</w:t>
      </w:r>
      <w:r>
        <w:t xml:space="preserve"> </w:t>
      </w:r>
      <w:r>
        <w:t xml:space="preserve">(Accounting Law). All figures reflect actual Spain Madrid market performance as verified by our local accounting firm, Pérez &amp; Asociados (Madrid registration: M-45789), and have been cross-checked against Agencia Tributaria records. This Sales Report is the official financial document for our Madrid branch's 2023 annual review.</w:t>
      </w:r>
    </w:p>
    <w:p>
      <w:pPr>
        <w:pStyle w:val="BodyText"/>
      </w:pPr>
      <w:r>
        <w:rPr>
          <w:bCs/>
          <w:b/>
        </w:rPr>
        <w:t xml:space="preserve">Accountant Certification:</w:t>
      </w:r>
      <w:r>
        <w:t xml:space="preserve"> </w:t>
      </w:r>
      <w:r>
        <w:t xml:space="preserve">María López, C.A., Certified Accountant (Spain Madrid No. MAD-AC-45981)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Accountant Analysis for Spain Madrid Market</dc:title>
  <dc:creator/>
  <dc:language>en</dc:language>
  <cp:keywords/>
  <dcterms:created xsi:type="dcterms:W3CDTF">2026-07-23T03:20:33Z</dcterms:created>
  <dcterms:modified xsi:type="dcterms:W3CDTF">2026-07-23T03:20:33Z</dcterms:modified>
</cp:coreProperties>
</file>

<file path=docProps/custom.xml><?xml version="1.0" encoding="utf-8"?>
<Properties xmlns="http://schemas.openxmlformats.org/officeDocument/2006/custom-properties" xmlns:vt="http://schemas.openxmlformats.org/officeDocument/2006/docPropsVTypes"/>
</file>