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Sudan</w:t>
      </w:r>
      <w:r>
        <w:t xml:space="preserve"> </w:t>
      </w:r>
      <w:r>
        <w:t xml:space="preserve">Khartoum</w:t>
      </w:r>
    </w:p>
    <w:bookmarkStart w:id="27" w:name="Xcdf23fe2d42f221e57a20a33f5c84c7c9d20eb5"/>
    <w:p>
      <w:pPr>
        <w:pStyle w:val="Heading1"/>
      </w:pPr>
      <w:r>
        <w:t xml:space="preserve">Comprehensive Sales Performance Report for Accountant Team | Sudan Khartoum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Finance Department, Regional Management</w:t>
      </w:r>
      <w:r>
        <w:br/>
      </w:r>
      <w:r>
        <w:rPr>
          <w:bCs/>
          <w:b/>
        </w:rPr>
        <w:t xml:space="preserve">Prepared By:</w:t>
      </w:r>
      <w:r>
        <w:t xml:space="preserve"> </w:t>
      </w:r>
      <w:r>
        <w:t xml:space="preserve">Accounting &amp; Sales Analysis Team</w:t>
      </w:r>
      <w:r>
        <w:br/>
      </w:r>
      <w:r>
        <w:rPr>
          <w:bCs/>
          <w:b/>
        </w:rPr>
        <w:t xml:space="preserve">Region Covered:</w:t>
      </w:r>
      <w:r>
        <w:t xml:space="preserve"> </w:t>
      </w:r>
      <w:r>
        <w:t xml:space="preserve">Sudan Khartoum Metropolitan Area</w:t>
      </w:r>
    </w:p>
    <w:bookmarkStart w:id="20" w:name="i.-executive-summary"/>
    <w:p>
      <w:pPr>
        <w:pStyle w:val="Heading2"/>
      </w:pPr>
      <w:r>
        <w:t xml:space="preserve">I. Executive Summary</w:t>
      </w:r>
    </w:p>
    <w:p>
      <w:pPr>
        <w:pStyle w:val="FirstParagraph"/>
      </w:pPr>
      <w:r>
        <w:t xml:space="preserve">This Sales Report details the financial performance and operational insights from the Sudan Khartoum region for Q3 2023, with special focus on the critical role of our Accountant team in driving data-driven decision-making. The Accountant function has been instrumental in transforming raw sales figures into actionable intelligence, directly contributing to a 14.7% year-over-year revenue growth within Sudan Khartoum. This report underscores how meticulous financial oversight by our Accountant professionals ensures compliance with Sudanese financial regulations while optimizing sales strategies for the unique market dynamics of Khartoum.</w:t>
      </w:r>
    </w:p>
    <w:bookmarkEnd w:id="20"/>
    <w:bookmarkStart w:id="21" w:name="X4cc2016486c1076e258431d2f34e2baa5ed2c08"/>
    <w:p>
      <w:pPr>
        <w:pStyle w:val="Heading2"/>
      </w:pPr>
      <w:r>
        <w:t xml:space="preserve">II. Sales Performance Overview (Sudan Khartoum, Q3 2023)</w:t>
      </w:r>
    </w:p>
    <w:p>
      <w:pPr>
        <w:pStyle w:val="FirstParagraph"/>
      </w:pPr>
      <w:r>
        <w:t xml:space="preserve">The Sudan Khartoum market demonstrated remarkable resilience despite regional economic fluctuations. Total sales revenue reached $1.87 million, marking a 14.7% increase from Q2 and a 9.3% surge compared to Q3 2022. Key drivers included:</w:t>
      </w:r>
    </w:p>
    <w:p>
      <w:pPr>
        <w:numPr>
          <w:ilvl w:val="0"/>
          <w:numId w:val="1001"/>
        </w:numPr>
        <w:pStyle w:val="Compact"/>
      </w:pPr>
      <w:r>
        <w:rPr>
          <w:bCs/>
          <w:b/>
        </w:rPr>
        <w:t xml:space="preserve">Consumer Goods Division:</w:t>
      </w:r>
      <w:r>
        <w:t xml:space="preserve"> </w:t>
      </w:r>
      <w:r>
        <w:t xml:space="preserve">+18.2% revenue (dominating with household staples)</w:t>
      </w:r>
    </w:p>
    <w:p>
      <w:pPr>
        <w:numPr>
          <w:ilvl w:val="0"/>
          <w:numId w:val="1001"/>
        </w:numPr>
        <w:pStyle w:val="Compact"/>
      </w:pPr>
      <w:r>
        <w:rPr>
          <w:bCs/>
          <w:b/>
        </w:rPr>
        <w:t xml:space="preserve">Industrial Equipment Sector:</w:t>
      </w:r>
      <w:r>
        <w:t xml:space="preserve"> </w:t>
      </w:r>
      <w:r>
        <w:t xml:space="preserve">+7.4% growth (supported by infrastructure projects in Khartoum)</w:t>
      </w:r>
    </w:p>
    <w:p>
      <w:pPr>
        <w:numPr>
          <w:ilvl w:val="0"/>
          <w:numId w:val="1001"/>
        </w:numPr>
        <w:pStyle w:val="Compact"/>
      </w:pPr>
      <w:r>
        <w:rPr>
          <w:bCs/>
          <w:b/>
        </w:rPr>
        <w:t xml:space="preserve">Retail Channel Performance:</w:t>
      </w:r>
      <w:r>
        <w:t xml:space="preserve"> </w:t>
      </w:r>
      <w:r>
        <w:t xml:space="preserve">32% of total sales, with Khartoum Central Market contributing 41% of regional retail volume</w:t>
      </w:r>
    </w:p>
    <w:p>
      <w:pPr>
        <w:pStyle w:val="FirstParagraph"/>
      </w:pPr>
      <w:r>
        <w:t xml:space="preserve">The Accountant team's real-time financial tracking enabled us to identify this sectoral shift early. Through our integrated accounting software (customized for Sudan Khartoum's tax framework), the Accountant department flagged a 22% decline in small-batch orders from informal markets – prompting targeted sales interventions that recovered $142,000 in potential lost revenue within two weeks.</w:t>
      </w:r>
    </w:p>
    <w:bookmarkEnd w:id="21"/>
    <w:bookmarkStart w:id="22" w:name="X6c5c89e3a3086d3b37d6db8c1954a33e9e151c7"/>
    <w:p>
      <w:pPr>
        <w:pStyle w:val="Heading2"/>
      </w:pPr>
      <w:r>
        <w:t xml:space="preserve">III. Accountant Team's Strategic Contributions</w:t>
      </w:r>
    </w:p>
    <w:p>
      <w:pPr>
        <w:pStyle w:val="FirstParagraph"/>
      </w:pPr>
      <w:r>
        <w:t xml:space="preserve">Beyond basic bookkeeping, the Accountant professionals in Sudan Khartoum have elevated their role through:</w:t>
      </w:r>
    </w:p>
    <w:p>
      <w:pPr>
        <w:numPr>
          <w:ilvl w:val="0"/>
          <w:numId w:val="1002"/>
        </w:numPr>
        <w:pStyle w:val="Compact"/>
      </w:pPr>
      <w:r>
        <w:rPr>
          <w:bCs/>
          <w:b/>
        </w:rPr>
        <w:t xml:space="preserve">Risk Mitigation:</w:t>
      </w:r>
      <w:r>
        <w:t xml:space="preserve"> </w:t>
      </w:r>
      <w:r>
        <w:t xml:space="preserve">Identified currency fluctuation vulnerabilities affecting 37% of Khartoum suppliers. The Accountant-led hedging strategy saved $86,000 in FX losses during the quarter.</w:t>
      </w:r>
    </w:p>
    <w:p>
      <w:pPr>
        <w:numPr>
          <w:ilvl w:val="0"/>
          <w:numId w:val="1002"/>
        </w:numPr>
        <w:pStyle w:val="Compact"/>
      </w:pPr>
      <w:r>
        <w:rPr>
          <w:bCs/>
          <w:b/>
        </w:rPr>
        <w:t xml:space="preserve">Sales Tax Compliance:</w:t>
      </w:r>
      <w:r>
        <w:t xml:space="preserve"> </w:t>
      </w:r>
      <w:r>
        <w:t xml:space="preserve">Ensured 100% adherence to Sudan's VAT regulations (23%) across all Khartoum transactions, preventing potential penalties exceeding $54,000.</w:t>
      </w:r>
    </w:p>
    <w:p>
      <w:pPr>
        <w:numPr>
          <w:ilvl w:val="0"/>
          <w:numId w:val="1002"/>
        </w:numPr>
        <w:pStyle w:val="Compact"/>
      </w:pPr>
      <w:r>
        <w:rPr>
          <w:bCs/>
          <w:b/>
        </w:rPr>
        <w:t xml:space="preserve">Customer Credit Analysis:</w:t>
      </w:r>
      <w:r>
        <w:t xml:space="preserve"> </w:t>
      </w:r>
      <w:r>
        <w:t xml:space="preserve">Developed a risk-scoring model for Khartoum-based clients, reducing bad debt by 19% through proactive Accountant-verified credit limits.</w:t>
      </w:r>
    </w:p>
    <w:p>
      <w:pPr>
        <w:numPr>
          <w:ilvl w:val="0"/>
          <w:numId w:val="1002"/>
        </w:numPr>
        <w:pStyle w:val="Compact"/>
      </w:pPr>
      <w:r>
        <w:rPr>
          <w:bCs/>
          <w:b/>
        </w:rPr>
        <w:t xml:space="preserve">Cost Allocation Accuracy:</w:t>
      </w:r>
      <w:r>
        <w:t xml:space="preserve"> </w:t>
      </w:r>
      <w:r>
        <w:t xml:space="preserve">Implemented activity-based costing for Khartoum operations, revealing 12% higher logistics costs than projected – enabling cost-saving negotiations with local transport providers.</w:t>
      </w:r>
    </w:p>
    <w:bookmarkEnd w:id="22"/>
    <w:bookmarkStart w:id="23" w:name="Xe4482e6b8ac412293b5da346d4fd0baf8e78edb"/>
    <w:p>
      <w:pPr>
        <w:pStyle w:val="Heading2"/>
      </w:pPr>
      <w:r>
        <w:t xml:space="preserve">IV. Regional Market Analysis: Sudan Khartoum Context</w:t>
      </w:r>
    </w:p>
    <w:p>
      <w:pPr>
        <w:pStyle w:val="FirstParagraph"/>
      </w:pPr>
      <w:r>
        <w:t xml:space="preserve">Sudan Khartoum's unique commercial environment demands specialized accounting approaches. The Accountant team navigated:</w:t>
      </w:r>
    </w:p>
    <w:p>
      <w:pPr>
        <w:numPr>
          <w:ilvl w:val="0"/>
          <w:numId w:val="1003"/>
        </w:numPr>
        <w:pStyle w:val="Compact"/>
      </w:pPr>
      <w:r>
        <w:rPr>
          <w:bCs/>
          <w:b/>
        </w:rPr>
        <w:t xml:space="preserve">Infrastructure Challenges:</w:t>
      </w:r>
      <w:r>
        <w:t xml:space="preserve"> </w:t>
      </w:r>
      <w:r>
        <w:t xml:space="preserve">Delayed payments from government-linked entities (common in Khartoum) were managed through the Accountant-approved staggered invoicing system, improving cash flow by 23%.</w:t>
      </w:r>
    </w:p>
    <w:p>
      <w:pPr>
        <w:numPr>
          <w:ilvl w:val="0"/>
          <w:numId w:val="1003"/>
        </w:numPr>
        <w:pStyle w:val="Compact"/>
      </w:pPr>
      <w:r>
        <w:rPr>
          <w:bCs/>
          <w:b/>
        </w:rPr>
        <w:t xml:space="preserve">Cultural Nuances:</w:t>
      </w:r>
      <w:r>
        <w:t xml:space="preserve"> </w:t>
      </w:r>
      <w:r>
        <w:t xml:space="preserve">The Accountant team trained sales staff on local business etiquette during negotiations – directly contributing to a 15% increase in closing rates with Khartoum-based enterprises.</w:t>
      </w:r>
    </w:p>
    <w:p>
      <w:pPr>
        <w:numPr>
          <w:ilvl w:val="0"/>
          <w:numId w:val="1003"/>
        </w:numPr>
        <w:pStyle w:val="Compact"/>
      </w:pPr>
      <w:r>
        <w:rPr>
          <w:bCs/>
          <w:b/>
        </w:rPr>
        <w:t xml:space="preserve">Regulatory Evolution:</w:t>
      </w:r>
      <w:r>
        <w:t xml:space="preserve"> </w:t>
      </w:r>
      <w:r>
        <w:t xml:space="preserve">Monitored Sudan's new Financial Intelligence Unit (FIU) reporting requirements, ensuring all Khartoum transactions met updated compliance standards ahead of the Q3 deadline.</w:t>
      </w:r>
    </w:p>
    <w:p>
      <w:pPr>
        <w:pStyle w:val="FirstParagraph"/>
      </w:pPr>
      <w:r>
        <w:t xml:space="preserve">This contextual awareness, driven by our Accountant professionals' on-ground presence in Sudan Khartoum, transformed potential compliance risks into competitive advantages. The Sales Report now includes a dedicated "Sudan Khartoum Compliance Scorecard" developed exclusively by the local Accountant team.</w:t>
      </w:r>
    </w:p>
    <w:bookmarkEnd w:id="23"/>
    <w:bookmarkStart w:id="24" w:name="X7da61d781d9ac6712cf8ed6a4ea4ecb4df257af"/>
    <w:p>
      <w:pPr>
        <w:pStyle w:val="Heading2"/>
      </w:pPr>
      <w:r>
        <w:t xml:space="preserve">V. Critical Challenges &amp; Accountant-Driven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Accountant Intervention</w:t>
            </w:r>
          </w:p>
        </w:tc>
        <w:tc>
          <w:tcPr/>
          <w:p>
            <w:pPr>
              <w:pStyle w:val="Compact"/>
              <w:jc w:val="left"/>
            </w:pPr>
            <w:r>
              <w:t xml:space="preserve">Result (Sudan Khartoum Impact)</w:t>
            </w:r>
          </w:p>
        </w:tc>
      </w:tr>
      <w:tr>
        <w:tc>
          <w:tcPr/>
          <w:p>
            <w:pPr>
              <w:pStyle w:val="Compact"/>
              <w:jc w:val="left"/>
            </w:pPr>
            <w:r>
              <w:t xml:space="preserve">Divergence between sales targets and actual collections in Khartoum West</w:t>
            </w:r>
          </w:p>
        </w:tc>
        <w:tc>
          <w:tcPr/>
          <w:p>
            <w:pPr>
              <w:pStyle w:val="Compact"/>
              <w:jc w:val="left"/>
            </w:pPr>
            <w:r>
              <w:t xml:space="preserve">Implemented daily cash collection tracking system with Accountant-led reconciliation</w:t>
            </w:r>
          </w:p>
        </w:tc>
        <w:tc>
          <w:tcPr/>
          <w:p>
            <w:pPr>
              <w:pStyle w:val="Compact"/>
              <w:jc w:val="left"/>
            </w:pPr>
            <w:r>
              <w:t xml:space="preserve">Reduced payment delays from 14 to 5 days; recovered $98,000 in overdue accounts</w:t>
            </w:r>
          </w:p>
        </w:tc>
      </w:tr>
      <w:tr>
        <w:tc>
          <w:tcPr/>
          <w:p>
            <w:pPr>
              <w:pStyle w:val="Compact"/>
              <w:jc w:val="left"/>
            </w:pPr>
            <w:r>
              <w:t xml:space="preserve">Inconsistent pricing across Khartoum retail partners</w:t>
            </w:r>
          </w:p>
        </w:tc>
        <w:tc>
          <w:tcPr/>
          <w:p>
            <w:pPr>
              <w:pStyle w:val="Compact"/>
              <w:jc w:val="left"/>
            </w:pPr>
            <w:r>
              <w:t xml:space="preserve">Developed a dynamic pricing dashboard with Accountant-verified cost data</w:t>
            </w:r>
          </w:p>
        </w:tc>
        <w:tc>
          <w:tcPr/>
          <w:p>
            <w:pPr>
              <w:pStyle w:val="Compact"/>
              <w:jc w:val="left"/>
            </w:pPr>
            <w:r>
              <w:t xml:space="preserve">Eliminated 12% price leakage; increased gross margin by 4.5%</w:t>
            </w:r>
          </w:p>
        </w:tc>
      </w:tr>
      <w:tr>
        <w:tc>
          <w:tcPr/>
          <w:p>
            <w:pPr>
              <w:pStyle w:val="Compact"/>
              <w:jc w:val="left"/>
            </w:pPr>
            <w:r>
              <w:t xml:space="preserve">Complex VAT calculation for mixed export/domestic sales</w:t>
            </w:r>
          </w:p>
        </w:tc>
        <w:tc>
          <w:tcPr/>
          <w:p>
            <w:pPr>
              <w:pStyle w:val="Compact"/>
              <w:jc w:val="left"/>
            </w:pPr>
            <w:r>
              <w:t xml:space="preserve">Created Sudan Khartoum-specific VAT module within accounting software</w:t>
            </w:r>
          </w:p>
        </w:tc>
        <w:tc>
          <w:tcPr/>
          <w:p>
            <w:pPr>
              <w:pStyle w:val="Compact"/>
              <w:jc w:val="left"/>
            </w:pPr>
            <w:r>
              <w:t xml:space="preserve">Reduced tax filing errors to 0.3% (vs. 8.7% industry average)</w:t>
            </w:r>
          </w:p>
        </w:tc>
      </w:tr>
    </w:tbl>
    <w:bookmarkEnd w:id="24"/>
    <w:bookmarkStart w:id="25" w:name="Xb2450c50880085fcffdcb87011661276a66f965"/>
    <w:p>
      <w:pPr>
        <w:pStyle w:val="Heading2"/>
      </w:pPr>
      <w:r>
        <w:t xml:space="preserve">VI. Recommendations for Next Quarter (Sudan Khartoum Focus)</w:t>
      </w:r>
    </w:p>
    <w:p>
      <w:pPr>
        <w:pStyle w:val="FirstParagraph"/>
      </w:pPr>
      <w:r>
        <w:t xml:space="preserve">The Accountant team proposes these strategic actions based on Q3 data:</w:t>
      </w:r>
    </w:p>
    <w:p>
      <w:pPr>
        <w:numPr>
          <w:ilvl w:val="0"/>
          <w:numId w:val="1004"/>
        </w:numPr>
        <w:pStyle w:val="Compact"/>
      </w:pPr>
      <w:r>
        <w:rPr>
          <w:bCs/>
          <w:b/>
        </w:rPr>
        <w:t xml:space="preserve">Expand Khartoum Digital Sales Tax Integration:</w:t>
      </w:r>
      <w:r>
        <w:t xml:space="preserve"> </w:t>
      </w:r>
      <w:r>
        <w:t xml:space="preserve">Partner with Sudanese tax authorities to implement real-time VAT reporting for all Sudan Khartoum transactions by Q1 2024.</w:t>
      </w:r>
    </w:p>
    <w:p>
      <w:pPr>
        <w:numPr>
          <w:ilvl w:val="0"/>
          <w:numId w:val="1004"/>
        </w:numPr>
        <w:pStyle w:val="Compact"/>
      </w:pPr>
      <w:r>
        <w:rPr>
          <w:bCs/>
          <w:b/>
        </w:rPr>
        <w:t xml:space="preserve">Sales-Data Collaboration Hub:</w:t>
      </w:r>
      <w:r>
        <w:t xml:space="preserve"> </w:t>
      </w:r>
      <w:r>
        <w:t xml:space="preserve">Establish weekly cross-functional meetings between Accountant staff and sales teams in Khartoum to align financial metrics with on-ground opportunities.</w:t>
      </w:r>
    </w:p>
    <w:p>
      <w:pPr>
        <w:numPr>
          <w:ilvl w:val="0"/>
          <w:numId w:val="1004"/>
        </w:numPr>
        <w:pStyle w:val="Compact"/>
      </w:pPr>
      <w:r>
        <w:rPr>
          <w:bCs/>
          <w:b/>
        </w:rPr>
        <w:t xml:space="preserve">Risk-Adjusted Credit Policy:</w:t>
      </w:r>
      <w:r>
        <w:t xml:space="preserve"> </w:t>
      </w:r>
      <w:r>
        <w:t xml:space="preserve">Implement the Accountant-developed client risk scoring for all new contracts in Sudan Khartoum, targeting 25% reduction in credit-related losses.</w:t>
      </w:r>
    </w:p>
    <w:p>
      <w:pPr>
        <w:numPr>
          <w:ilvl w:val="0"/>
          <w:numId w:val="1004"/>
        </w:numPr>
        <w:pStyle w:val="Compact"/>
      </w:pPr>
      <w:r>
        <w:rPr>
          <w:bCs/>
          <w:b/>
        </w:rPr>
        <w:t xml:space="preserve">Khartoum Market Intelligence Unit:</w:t>
      </w:r>
      <w:r>
        <w:t xml:space="preserve"> </w:t>
      </w:r>
      <w:r>
        <w:t xml:space="preserve">Dedicate one Accountant specialist to monitor Sudan's economic indicators (currency, inflation) specifically for Khartoum market forecasting.</w:t>
      </w:r>
    </w:p>
    <w:bookmarkEnd w:id="25"/>
    <w:bookmarkStart w:id="26" w:name="vii.-conclusion"/>
    <w:p>
      <w:pPr>
        <w:pStyle w:val="Heading2"/>
      </w:pPr>
      <w:r>
        <w:t xml:space="preserve">VII. Conclusion</w:t>
      </w:r>
    </w:p>
    <w:p>
      <w:pPr>
        <w:pStyle w:val="FirstParagraph"/>
      </w:pPr>
      <w:r>
        <w:t xml:space="preserve">This Sales Report unequivocally demonstrates that the Accountant function is not merely a financial support role but the strategic engine driving success in Sudan Khartoum. The Accountant team's localized expertise has directly enabled our sales performance, with every dollar of revenue growth traceable to their data accuracy and forward-looking analysis. In a region where economic volatility defines daily operations, the Accountant's vigilance in Sudan Khartoum is what transforms potential market challenges into sustainable growth opportunities.</w:t>
      </w:r>
    </w:p>
    <w:p>
      <w:pPr>
        <w:pStyle w:val="BodyText"/>
      </w:pPr>
      <w:r>
        <w:t xml:space="preserve">As we move into Q4 2023, the integration of this Sales Report with our Accountant team's insights will remain paramount. For any business operating within Sudan Khartoum, the synergy between sales execution and accounting precision isn't optional – it's the foundation of commercial viability. We recommend elevating the Accountant role to strategic decision-making status in all Sudan Khartoum operations, as evidenced by our Q3 results where each $1 invested in enhanced accounting oversight yielded $7.80 in incremental revenue.</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&amp; Market Analysis - Sudan Khartoum</dc:title>
  <dc:creator/>
  <dc:language>en</dc:language>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