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Accountant</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27" w:name="X14fb8cc36c0a9340f99356b9cb19c2755c4b642"/>
    <w:p>
      <w:pPr>
        <w:pStyle w:val="Heading1"/>
      </w:pPr>
      <w:r>
        <w:t xml:space="preserve">Comprehensive Sales Performance Report for Accounting Services: Thailand Bangkok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Bangkok Accounting Solutions</w:t>
      </w:r>
      <w:r>
        <w:br/>
      </w:r>
      <w:r>
        <w:rPr>
          <w:bCs/>
          <w:b/>
        </w:rPr>
        <w:t xml:space="preserve">Prepared By:</w:t>
      </w:r>
      <w:r>
        <w:t xml:space="preserve"> </w:t>
      </w:r>
      <w:r>
        <w:t xml:space="preserve">Senior Accountant &amp; Business Analyst Team</w:t>
      </w:r>
    </w:p>
    <w:bookmarkStart w:id="20" w:name="i.-executive-summary"/>
    <w:p>
      <w:pPr>
        <w:pStyle w:val="Heading2"/>
      </w:pPr>
      <w:r>
        <w:t xml:space="preserve">I. Executive Summary</w:t>
      </w:r>
    </w:p>
    <w:p>
      <w:pPr>
        <w:pStyle w:val="FirstParagraph"/>
      </w:pPr>
      <w:r>
        <w:t xml:space="preserve">This Sales Report presents a detailed analysis of accounting service performance across Thailand's premier business hub—Bangkok. As the economic nerve center of Southeast Asia, Bangkok demands specialized financial expertise that aligns with local regulations and international standards. The report confirms that our accountant-driven sales strategy has generated a 18.7% year-over-year growth in client acquisition, significantly outperforming regional benchmarks. Crucially, this success stems from our localized approach where every Sales Report is meticulously tailored to Thailand's unique tax environment and business culture.</w:t>
      </w:r>
    </w:p>
    <w:bookmarkEnd w:id="20"/>
    <w:bookmarkStart w:id="21" w:name="X5936c7ca27d1ec683f03deacf43c6791fc823e7"/>
    <w:p>
      <w:pPr>
        <w:pStyle w:val="Heading2"/>
      </w:pPr>
      <w:r>
        <w:t xml:space="preserve">II. Market Context: Accounting Landscape in Thailand Bangkok</w:t>
      </w:r>
    </w:p>
    <w:p>
      <w:pPr>
        <w:pStyle w:val="FirstParagraph"/>
      </w:pPr>
      <w:r>
        <w:t xml:space="preserve">Bangkok's dynamic business ecosystem—home to over 10,000 multinational corporations and 58,000 registered Thai SMEs—requires accountants who understand both the Thai Revenue Department's complex regulations and global compliance frameworks. Our Sales Report reveals that companies in Bangkok increasingly prioritize integrated financial solutions: 73% of new clients seek tax optimization services aligned with Thailand's BEPS (Base Erosion and Profit Shifting) guidelines, while 65% require GST-compliant reporting for their operations within the Bangkok Metropolitan Region.</w:t>
      </w:r>
    </w:p>
    <w:bookmarkEnd w:id="21"/>
    <w:bookmarkStart w:id="22" w:name="Xbe4fcbe312f89e6c678159ba864b971012c29ca"/>
    <w:p>
      <w:pPr>
        <w:pStyle w:val="Heading2"/>
      </w:pPr>
      <w:r>
        <w:t xml:space="preserve">III. Sales Performance Breakdown: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(Actual)</w:t>
            </w:r>
          </w:p>
        </w:tc>
        <w:tc>
          <w:tcPr/>
          <w:p>
            <w:pPr>
              <w:pStyle w:val="Compact"/>
              <w:jc w:val="left"/>
            </w:pPr>
            <w:r>
              <w:t xml:space="preserve">Q3 2022 (Actual)</w:t>
            </w:r>
          </w:p>
        </w:tc>
        <w:tc>
          <w:tcPr/>
          <w:p>
            <w:pPr>
              <w:pStyle w:val="Compact"/>
              <w:jc w:val="left"/>
            </w:pPr>
            <w:r>
              <w:t xml:space="preserve">% Change</w:t>
            </w:r>
          </w:p>
        </w:tc>
      </w:tr>
      <w:tr>
        <w:tc>
          <w:tcPr/>
          <w:p>
            <w:pPr>
              <w:pStyle w:val="Compact"/>
              <w:jc w:val="left"/>
            </w:pPr>
            <w:r>
              <w:t xml:space="preserve">New Client Acquisition</w:t>
            </w:r>
          </w:p>
        </w:tc>
        <w:tc>
          <w:tcPr/>
          <w:p>
            <w:pPr>
              <w:pStyle w:val="Compact"/>
              <w:jc w:val="left"/>
            </w:pPr>
            <w:r>
              <w:t xml:space="preserve">47 clients</w:t>
            </w:r>
          </w:p>
        </w:tc>
        <w:tc>
          <w:tcPr/>
          <w:p>
            <w:pPr>
              <w:pStyle w:val="Compact"/>
              <w:jc w:val="left"/>
            </w:pPr>
            <w:r>
              <w:t xml:space="preserve">38 clients</w:t>
            </w:r>
          </w:p>
        </w:tc>
        <w:tc>
          <w:tcPr/>
          <w:p>
            <w:pPr>
              <w:pStyle w:val="Compact"/>
              <w:jc w:val="left"/>
            </w:pPr>
            <w:r>
              <w:t xml:space="preserve">+23.7%</w:t>
            </w:r>
          </w:p>
        </w:tc>
      </w:tr>
      <w:tr>
        <w:tc>
          <w:tcPr/>
          <w:p>
            <w:pPr>
              <w:pStyle w:val="Compact"/>
              <w:jc w:val="left"/>
            </w:pPr>
            <w:r>
              <w:t xml:space="preserve">Revenue from Accounting Services</w:t>
            </w:r>
          </w:p>
        </w:tc>
        <w:tc>
          <w:tcPr/>
          <w:p>
            <w:pPr>
              <w:pStyle w:val="Compact"/>
              <w:jc w:val="left"/>
            </w:pPr>
            <w:r>
              <w:t xml:space="preserve">฿12.8M THB</w:t>
            </w:r>
          </w:p>
        </w:tc>
        <w:tc>
          <w:tcPr/>
          <w:p>
            <w:pPr>
              <w:pStyle w:val="Compact"/>
              <w:jc w:val="left"/>
            </w:pPr>
            <w:r>
              <w:t xml:space="preserve">฿10.5M THB</w:t>
            </w:r>
          </w:p>
        </w:tc>
        <w:tc>
          <w:tcPr/>
          <w:p>
            <w:pPr>
              <w:pStyle w:val="Compact"/>
              <w:jc w:val="left"/>
            </w:pPr>
            <w:r>
              <w:t xml:space="preserve">+21.9%</w:t>
            </w:r>
          </w:p>
        </w:tc>
      </w:tr>
      <w:tr>
        <w:tc>
          <w:tcPr/>
          <w:p>
            <w:pPr>
              <w:pStyle w:val="Compact"/>
              <w:jc w:val="left"/>
            </w:pPr>
            <w:r>
              <w:t xml:space="preserve">Client Retention Rate</w:t>
            </w:r>
          </w:p>
        </w:tc>
        <w:tc>
          <w:tcPr/>
          <w:p>
            <w:pPr>
              <w:pStyle w:val="Compact"/>
              <w:jc w:val="left"/>
            </w:pPr>
            <w:r>
              <w:t xml:space="preserve">89%</w:t>
            </w:r>
          </w:p>
        </w:tc>
        <w:tc>
          <w:tcPr/>
          <w:p>
            <w:pPr>
              <w:pStyle w:val="Compact"/>
              <w:jc w:val="left"/>
            </w:pPr>
            <w:r>
              <w:t xml:space="preserve">84%</w:t>
            </w:r>
          </w:p>
        </w:tc>
        <w:tc>
          <w:tcPr/>
          <w:p>
            <w:pPr>
              <w:pStyle w:val="Compact"/>
              <w:jc w:val="left"/>
            </w:pPr>
            <w:r>
              <w:t xml:space="preserve">+5.0%</w:t>
            </w:r>
          </w:p>
        </w:tc>
      </w:tr>
      <w:tr>
        <w:tc>
          <w:tcPr/>
          <w:p>
            <w:pPr>
              <w:pStyle w:val="Compact"/>
              <w:jc w:val="left"/>
            </w:pPr>
            <w:r>
              <w:t xml:space="preserve">Sales Cycle Duration (Avg.)</w:t>
            </w:r>
          </w:p>
        </w:tc>
        <w:tc>
          <w:tcPr/>
          <w:p>
            <w:pPr>
              <w:pStyle w:val="Compact"/>
              <w:jc w:val="left"/>
            </w:pPr>
            <w:r>
              <w:t xml:space="preserve">21 days</w:t>
            </w:r>
          </w:p>
        </w:tc>
        <w:tc>
          <w:tcPr/>
          <w:p>
            <w:pPr>
              <w:pStyle w:val="Compact"/>
              <w:jc w:val="left"/>
            </w:pPr>
            <w:r>
              <w:t xml:space="preserve">28 days</w:t>
            </w:r>
          </w:p>
        </w:tc>
        <w:tc>
          <w:tcPr/>
          <w:p>
            <w:pPr>
              <w:pStyle w:val="Compact"/>
              <w:jc w:val="left"/>
            </w:pPr>
            <w:r>
              <w:t xml:space="preserve">-25.0%</w:t>
            </w:r>
          </w:p>
        </w:tc>
      </w:tr>
    </w:tbl>
    <w:p>
      <w:pPr>
        <w:pStyle w:val="BodyText"/>
      </w:pPr>
      <w:r>
        <w:t xml:space="preserve">The data demonstrates that our Bangkok-based Accountant team's deep understanding of local market nuances directly accelerates sales conversion. Notably, the 18% reduction in sales cycle duration (from 4 weeks to 3 weeks) correlates with accountants' ability to immediately address Thailand-specific concerns—such as VAT reconciliation for import/export businesses in Eastern Seaboard Economic Corridor or payroll compliance under Thailand's Social Security Act.</w:t>
      </w:r>
    </w:p>
    <w:bookmarkEnd w:id="22"/>
    <w:bookmarkStart w:id="23" w:name="Xcf8703bd69a44f80b99d75404666ad1152015d5"/>
    <w:p>
      <w:pPr>
        <w:pStyle w:val="Heading2"/>
      </w:pPr>
      <w:r>
        <w:t xml:space="preserve">IV. Regional Sales Analysis: Bangkok District Performance</w:t>
      </w:r>
    </w:p>
    <w:p>
      <w:pPr>
        <w:pStyle w:val="FirstParagraph"/>
      </w:pPr>
      <w:r>
        <w:t xml:space="preserve">Our Sales Report segments performance by Bangkok districts to highlight geographic opportunities:</w:t>
      </w:r>
    </w:p>
    <w:p>
      <w:pPr>
        <w:numPr>
          <w:ilvl w:val="0"/>
          <w:numId w:val="1001"/>
        </w:numPr>
        <w:pStyle w:val="Compact"/>
      </w:pPr>
      <w:r>
        <w:rPr>
          <w:bCs/>
          <w:b/>
        </w:rPr>
        <w:t xml:space="preserve">Rattanakosin (Old City):</w:t>
      </w:r>
      <w:r>
        <w:t xml:space="preserve"> </w:t>
      </w:r>
      <w:r>
        <w:t xml:space="preserve">35% of sales driven by heritage businesses requiring Thai Tax Act Article 80 compliance. Accountant-led workshops on digital invoicing under Thailand's e-Invoicing System generated 27 new clients.</w:t>
      </w:r>
    </w:p>
    <w:p>
      <w:pPr>
        <w:numPr>
          <w:ilvl w:val="0"/>
          <w:numId w:val="1001"/>
        </w:numPr>
        <w:pStyle w:val="Compact"/>
      </w:pPr>
      <w:r>
        <w:rPr>
          <w:bCs/>
          <w:b/>
        </w:rPr>
        <w:t xml:space="preserve">Silom/Bangrak:</w:t>
      </w:r>
      <w:r>
        <w:t xml:space="preserve"> </w:t>
      </w:r>
      <w:r>
        <w:t xml:space="preserve">Highest growth (31%) in multinational client acquisition. Accountants successfully navigated double taxation treaties between Thailand and EU member states for 42% of new contracts.</w:t>
      </w:r>
    </w:p>
    <w:p>
      <w:pPr>
        <w:numPr>
          <w:ilvl w:val="0"/>
          <w:numId w:val="1001"/>
        </w:numPr>
        <w:pStyle w:val="Compact"/>
      </w:pPr>
      <w:r>
        <w:rPr>
          <w:bCs/>
          <w:b/>
        </w:rPr>
        <w:t xml:space="preserve">Bang Na/Chonburi Corridor:</w:t>
      </w:r>
      <w:r>
        <w:t xml:space="preserve"> </w:t>
      </w:r>
      <w:r>
        <w:t xml:space="preserve">19% revenue increase from manufacturing clients. Accountants implemented Thailand's new Environmental Tax framework, securing long-term retainers.</w:t>
      </w:r>
    </w:p>
    <w:bookmarkEnd w:id="23"/>
    <w:bookmarkStart w:id="24" w:name="X1685a880943be7b130ba03a1d9791715a47af7d"/>
    <w:p>
      <w:pPr>
        <w:pStyle w:val="Heading2"/>
      </w:pPr>
      <w:r>
        <w:t xml:space="preserve">V. Key Success Factors: Accountant-Driven Sales Strategy</w:t>
      </w:r>
    </w:p>
    <w:p>
      <w:pPr>
        <w:pStyle w:val="FirstParagraph"/>
      </w:pPr>
      <w:r>
        <w:t xml:space="preserve">Bangkok's competitive accounting market demands more than technical expertise—it requires cultural fluency and strategic insight. Our Sales Report identifies three critical success pillars:</w:t>
      </w:r>
    </w:p>
    <w:p>
      <w:pPr>
        <w:numPr>
          <w:ilvl w:val="0"/>
          <w:numId w:val="1002"/>
        </w:numPr>
        <w:pStyle w:val="Compact"/>
      </w:pPr>
      <w:r>
        <w:rPr>
          <w:bCs/>
          <w:b/>
        </w:rPr>
        <w:t xml:space="preserve">Localization of Financial Solutions:</w:t>
      </w:r>
      <w:r>
        <w:t xml:space="preserve"> </w:t>
      </w:r>
      <w:r>
        <w:t xml:space="preserve">Accountants in Bangkok now lead client consultations, translating complex Thai tax laws into actionable business strategies. For example, when advising a Bangkok-based e-commerce startup on GST registration, our accountant identified a 15% tax savings opportunity through Thailand's "Digital Service Tax" exemptions.</w:t>
      </w:r>
    </w:p>
    <w:p>
      <w:pPr>
        <w:numPr>
          <w:ilvl w:val="0"/>
          <w:numId w:val="1002"/>
        </w:numPr>
        <w:pStyle w:val="Compact"/>
      </w:pPr>
      <w:r>
        <w:rPr>
          <w:bCs/>
          <w:b/>
        </w:rPr>
        <w:t xml:space="preserve">Compliance as Sales Catalyst:</w:t>
      </w:r>
      <w:r>
        <w:t xml:space="preserve"> </w:t>
      </w:r>
      <w:r>
        <w:t xml:space="preserve">In Thailand, non-compliance risks include fines up to 200,000 THB under Revenue Code Section 67. Accountants now proactively present compliance risk assessments in sales proposals—resulting in a 41% increase in high-value service package adoption (e.g., full financial outsourcing for Thai subsidiaries).</w:t>
      </w:r>
    </w:p>
    <w:p>
      <w:pPr>
        <w:numPr>
          <w:ilvl w:val="0"/>
          <w:numId w:val="1002"/>
        </w:numPr>
        <w:pStyle w:val="Compact"/>
      </w:pPr>
      <w:r>
        <w:rPr>
          <w:bCs/>
          <w:b/>
        </w:rPr>
        <w:t xml:space="preserve">Technology Integration:</w:t>
      </w:r>
      <w:r>
        <w:t xml:space="preserve"> </w:t>
      </w:r>
      <w:r>
        <w:t xml:space="preserve">Our Bangkok team deployed a Thailand-specific accounting CRM that syncs with the Department of Revenue's iTax portal. This allowed accountants to generate real-time sales reports showing clients how our services directly reduce their tax liabilities—a feature cited by 87% of new clients during onboarding.</w:t>
      </w:r>
    </w:p>
    <w:bookmarkEnd w:id="24"/>
    <w:bookmarkStart w:id="25" w:name="X5c7156ed8219e838e21e81b816940a9d642acd4"/>
    <w:p>
      <w:pPr>
        <w:pStyle w:val="Heading2"/>
      </w:pPr>
      <w:r>
        <w:t xml:space="preserve">VI. Challenges and Strategic Recommendations</w:t>
      </w:r>
    </w:p>
    <w:p>
      <w:pPr>
        <w:pStyle w:val="FirstParagraph"/>
      </w:pPr>
      <w:r>
        <w:t xml:space="preserve">Despite strong performance, two challenges require urgent attention per this Sales Report:</w:t>
      </w:r>
    </w:p>
    <w:p>
      <w:pPr>
        <w:numPr>
          <w:ilvl w:val="0"/>
          <w:numId w:val="1003"/>
        </w:numPr>
        <w:pStyle w:val="Compact"/>
      </w:pPr>
      <w:r>
        <w:rPr>
          <w:bCs/>
          <w:b/>
        </w:rPr>
        <w:t xml:space="preserve">Regulatory Volatility:</w:t>
      </w:r>
      <w:r>
        <w:t xml:space="preserve"> </w:t>
      </w:r>
      <w:r>
        <w:t xml:space="preserve">Thailand's 2023 amendment to the Tax Act introduced new penalties for late filings. Accountants must now dedicate 15% more time to client education during sales cycles. *Recommendation: Develop a Bangkok-specific compliance checklist as part of all sales proposals.</w:t>
      </w:r>
    </w:p>
    <w:p>
      <w:pPr>
        <w:numPr>
          <w:ilvl w:val="0"/>
          <w:numId w:val="1003"/>
        </w:numPr>
        <w:pStyle w:val="Compact"/>
      </w:pPr>
      <w:r>
        <w:rPr>
          <w:bCs/>
          <w:b/>
        </w:rPr>
        <w:t xml:space="preserve">Competitive Pressure:</w:t>
      </w:r>
      <w:r>
        <w:t xml:space="preserve"> </w:t>
      </w:r>
      <w:r>
        <w:t xml:space="preserve">Local firms offering "low-cost accounting" services have captured 12% of mid-tier market share. *Recommendation: Launch "Thailand Digital Finance" service bundles featuring AI-driven cash flow forecasting (aligned with Bangkok's Smart City initiative).</w:t>
      </w:r>
    </w:p>
    <w:bookmarkEnd w:id="25"/>
    <w:bookmarkStart w:id="26" w:name="X166541ba73a1ea7969bc2ec7bed588bfe930c14"/>
    <w:p>
      <w:pPr>
        <w:pStyle w:val="Heading2"/>
      </w:pPr>
      <w:r>
        <w:t xml:space="preserve">VII. Conclusion: The Accountant as Strategic Sales Partner</w:t>
      </w:r>
    </w:p>
    <w:p>
      <w:pPr>
        <w:pStyle w:val="FirstParagraph"/>
      </w:pPr>
      <w:r>
        <w:t xml:space="preserve">This comprehensive Sales Report underscores that in Thailand Bangkok, the Accountant is no longer a back-office function but a revenue catalyst. Our data proves that when accountants lead sales engagement—leveraging deep knowledge of Thai business practices (from Phra Athit Road trading houses to Ploenchit Avenue MNCs)—client trust converts to sustainable growth. The 18% YoY revenue increase validates our investment in accountant-led sales training, with Bangkok's market now serving as a blueprint for ASEAN expansion.</w:t>
      </w:r>
    </w:p>
    <w:p>
      <w:pPr>
        <w:pStyle w:val="BodyText"/>
      </w:pPr>
      <w:r>
        <w:t xml:space="preserve">Looking ahead, we recommend: (1) Expanding the "Bangkok Accountant Advisory Council" to include senior finance managers from top 50 Thai corporations; (2) Developing a Thailand-specific Sales Playbook integrating BOI (Board of Investment) incentives into service propositions; and (3) Implementing quarterly Sales Report workshops where accountants present localized case studies like our successful GST optimization for a Bangkok luxury hotel group saving ฿8.2M annually.</w:t>
      </w:r>
    </w:p>
    <w:p>
      <w:pPr>
        <w:pStyle w:val="BodyText"/>
      </w:pPr>
      <w:r>
        <w:t xml:space="preserve">As Thailand's economy evolves, the Accountant's dual role as financial expert and sales strategist will remain indispensable. In the vibrant marketplace of Bangkok, where every transaction reflects Thai business etiquette and regulatory precision, our Sales Report proves that accounting excellence directly fuels commercial success.</w:t>
      </w:r>
    </w:p>
    <w:p>
      <w:pPr>
        <w:pStyle w:val="BodyText"/>
      </w:pPr>
      <w:r>
        <w:rPr>
          <w:bCs/>
          <w:b/>
        </w:rPr>
        <w:t xml:space="preserve">Prepared By:</w:t>
      </w:r>
      <w:r>
        <w:t xml:space="preserve"> </w:t>
      </w:r>
      <w:r>
        <w:t xml:space="preserve">Anuwat Chaiyakul, CPA (Thailand), Senior Accountant &amp; Business Development Lead</w:t>
      </w:r>
      <w:r>
        <w:br/>
      </w:r>
      <w:r>
        <w:rPr>
          <w:bCs/>
          <w:b/>
        </w:rPr>
        <w:t xml:space="preserve">Firm:</w:t>
      </w:r>
      <w:r>
        <w:t xml:space="preserve"> </w:t>
      </w:r>
      <w:r>
        <w:t xml:space="preserve">Bangkok Accounting Partners Ltd. | Registered with the Ministry of Finance, Thailand (License: 001/2023)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Accountant Services in Thailand Bangkok</dc:title>
  <dc:creator/>
  <dc:language>en</dc:language>
  <cp:keywords/>
  <dcterms:created xsi:type="dcterms:W3CDTF">2026-07-23T10:47:23Z</dcterms:created>
  <dcterms:modified xsi:type="dcterms:W3CDTF">2026-07-23T10:47:23Z</dcterms:modified>
</cp:coreProperties>
</file>

<file path=docProps/custom.xml><?xml version="1.0" encoding="utf-8"?>
<Properties xmlns="http://schemas.openxmlformats.org/officeDocument/2006/custom-properties" xmlns:vt="http://schemas.openxmlformats.org/officeDocument/2006/docPropsVTypes"/>
</file>