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&amp;</w:t>
      </w:r>
      <w:r>
        <w:t xml:space="preserve"> </w:t>
      </w:r>
      <w:r>
        <w:t xml:space="preserve">Compliance</w:t>
      </w:r>
      <w:r>
        <w:t xml:space="preserve"> </w:t>
      </w:r>
      <w:r>
        <w:t xml:space="preserve">in</w:t>
      </w:r>
      <w:r>
        <w:t xml:space="preserve"> </w:t>
      </w:r>
      <w:r>
        <w:t xml:space="preserve">Istanbul,</w:t>
      </w:r>
      <w:r>
        <w:t xml:space="preserve"> </w:t>
      </w:r>
      <w:r>
        <w:t xml:space="preserve">Turkey</w:t>
      </w:r>
    </w:p>
    <w:bookmarkStart w:id="26" w:name="X77dd74773327a07f28bbf2a09e4a61eeac1af83"/>
    <w:p>
      <w:pPr>
        <w:pStyle w:val="Heading1"/>
      </w:pPr>
      <w:r>
        <w:t xml:space="preserve">Sales Report: Strategic Accounting Insights for Istanbul Operations, Turkey</w:t>
      </w:r>
    </w:p>
    <w:p>
      <w:pPr>
        <w:pStyle w:val="FirstParagraph"/>
      </w:pPr>
      <w:r>
        <w:rPr>
          <w:bCs/>
          <w:b/>
        </w:rPr>
        <w:t xml:space="preserve">Prepared For:</w:t>
      </w:r>
      <w:r>
        <w:t xml:space="preserve"> </w:t>
      </w:r>
      <w:r>
        <w:t xml:space="preserve">Executive Management, Istanbul Branch</w:t>
      </w:r>
      <w:r>
        <w:br/>
      </w:r>
      <w:r>
        <w:rPr>
          <w:bCs/>
          <w:b/>
        </w:rPr>
        <w:t xml:space="preserve">Date:</w:t>
      </w:r>
      <w:r>
        <w:t xml:space="preserve"> </w:t>
      </w:r>
      <w:r>
        <w:t xml:space="preserve">October 26, 2023</w:t>
      </w:r>
      <w:r>
        <w:br/>
      </w:r>
      <w:r>
        <w:rPr>
          <w:bCs/>
          <w:b/>
        </w:rPr>
        <w:t xml:space="preserve">Prepared By:</w:t>
      </w:r>
      <w:r>
        <w:t xml:space="preserve"> </w:t>
      </w:r>
      <w:r>
        <w:t xml:space="preserve">Senior Accounting Department, Istanbul Office</w:t>
      </w:r>
    </w:p>
    <w:bookmarkStart w:id="20" w:name="X701de5018c8946a2575c8dae267803ebc7d387d"/>
    <w:p>
      <w:pPr>
        <w:pStyle w:val="Heading2"/>
      </w:pPr>
      <w:r>
        <w:t xml:space="preserve">I. Executive Summary: Sales Performance &amp; Accounting Synergy in Turkey's Economic Heartland</w:t>
      </w:r>
    </w:p>
    <w:p>
      <w:pPr>
        <w:pStyle w:val="FirstParagraph"/>
      </w:pPr>
      <w:r>
        <w:t xml:space="preserve">This report details the Q3 2023 sales performance for our Istanbul-based operations, emphasizing the critical role of certified accountants in ensuring compliance with Turkish tax regulations and strategic financial decision-making. As Turkey's economic capital, Istanbul contributes over 18% of the nation's GDP and presents unique challenges—including dynamic tourism cycles, complex VAT structures (standard rate: 20%), and stringent reporting requirements under Turkish Accounting Standards (TMS). Our accountants have successfully navigated these complexities, transforming raw sales data into actionable insights that supported a 14.7% year-over-year revenue growth for the Istanbul branch. Crucially, this growth was achieved while maintaining 100% compliance with the Gelir İdaresi Başkanlığı (Turkish Revenue Administration) filings, demonstrating how precision accounting directly fuels sustainable sales performance in Turkey's competitive marketplace.</w:t>
      </w:r>
    </w:p>
    <w:bookmarkEnd w:id="20"/>
    <w:bookmarkStart w:id="21" w:name="X1ef7b756235b2e6a3b291a08838d104bd595ba2"/>
    <w:p>
      <w:pPr>
        <w:pStyle w:val="Heading2"/>
      </w:pPr>
      <w:r>
        <w:t xml:space="preserve">II. Q3 2023 Sales Performance Analysis: Istanbul Context</w:t>
      </w:r>
    </w:p>
    <w:p>
      <w:pPr>
        <w:pStyle w:val="FirstParagraph"/>
      </w:pPr>
      <w:r>
        <w:t xml:space="preserve">The Istanbul branch achieved ₺187.4 million in gross sales during Q3 2023, a significant increase from ₺165.9 million in Q3 2022. This growth was driven by three key sectors: tourism-related services (e.g., hospitality equipment rentals, event management), e-commerce logistics support, and manufacturing exports to EU markets. Notably, sales in the Kadıköy and Şişli districts surged by 27% due to renewed post-pandemic tourism demand. However, this growth was tempered by rising input costs—especially for Turkish Lira (TRY)-denominated materials—and the challenge of accurately applying Turkey's tiered VAT rules across diverse client contracts.</w:t>
      </w:r>
    </w:p>
    <w:p>
      <w:pPr>
        <w:pStyle w:val="BodyText"/>
      </w:pPr>
      <w:r>
        <w:t xml:space="preserve">Our</w:t>
      </w:r>
      <w:r>
        <w:t xml:space="preserve"> </w:t>
      </w:r>
      <w:r>
        <w:rPr>
          <w:bCs/>
          <w:b/>
        </w:rPr>
        <w:t xml:space="preserve">accountant team</w:t>
      </w:r>
      <w:r>
        <w:t xml:space="preserve"> </w:t>
      </w:r>
      <w:r>
        <w:t xml:space="preserve">played a pivotal role in analyzing these figures. They identified that 32% of the sales growth stemmed from new B2B contracts with Istanbul-based industrial firms, where margin management was critical due to Turkey's recent energy cost adjustments. The accountants implemented real-time VAT reconciliation protocols compliant with TMS 1 (Revenue), ensuring every transaction met Turkish tax law requirements. This prevented potential ₺4.2 million in penalties during audits and preserved client trust—vital for long-term sales relationships in Istanbul's tight-knit business community.</w:t>
      </w:r>
    </w:p>
    <w:bookmarkEnd w:id="21"/>
    <w:bookmarkStart w:id="22" w:name="Xf2613c45c3be9828a207b9bc7bae89973c1ba50"/>
    <w:p>
      <w:pPr>
        <w:pStyle w:val="Heading2"/>
      </w:pPr>
      <w:r>
        <w:t xml:space="preserve">III. The Accountant: Turkey's Compliance Catalyst for Sales Data Integrity</w:t>
      </w:r>
    </w:p>
    <w:p>
      <w:pPr>
        <w:pStyle w:val="FirstParagraph"/>
      </w:pPr>
      <w:r>
        <w:t xml:space="preserve">In Turkey, the accountant is not merely a number-cruncher but the guardian of legal and strategic integrity. For our Istanbul operations, accountants perform three non-negotiable functions that directly impact sales success:</w:t>
      </w:r>
    </w:p>
    <w:p>
      <w:pPr>
        <w:numPr>
          <w:ilvl w:val="0"/>
          <w:numId w:val="1001"/>
        </w:numPr>
        <w:pStyle w:val="Compact"/>
      </w:pPr>
      <w:r>
        <w:rPr>
          <w:bCs/>
          <w:b/>
        </w:rPr>
        <w:t xml:space="preserve">Regulatory Translation:</w:t>
      </w:r>
      <w:r>
        <w:t xml:space="preserve"> </w:t>
      </w:r>
      <w:r>
        <w:t xml:space="preserve">Turkish law mandates specific reporting formats (e.g., "İşletme İstatistikleri" for tax returns). Our Istanbul accountants translate sales data into these required structures, ensuring seamless integration with the Turkish Revenue Administration's e-filing system (MERNIS). Without this, sales figures could be rejected, delaying client payments and damaging credibility.</w:t>
      </w:r>
    </w:p>
    <w:p>
      <w:pPr>
        <w:numPr>
          <w:ilvl w:val="0"/>
          <w:numId w:val="1001"/>
        </w:numPr>
        <w:pStyle w:val="Compact"/>
      </w:pPr>
      <w:r>
        <w:rPr>
          <w:bCs/>
          <w:b/>
        </w:rPr>
        <w:t xml:space="preserve">VAT Optimization:</w:t>
      </w:r>
      <w:r>
        <w:t xml:space="preserve"> </w:t>
      </w:r>
      <w:r>
        <w:t xml:space="preserve">Turkey's 20% standard VAT rate plus local municipality taxes requires meticulous calculation. Accountants analyzed seasonal sales patterns—like the Q3 surge before Istanbul's winter tourism slowdown—to structure contracts that minimized tax leakage while maximizing net revenue. For example, they restructured a major hotel supplier contract to utilize "zero-rated" tourism services, boosting net profit by 8%.</w:t>
      </w:r>
    </w:p>
    <w:p>
      <w:pPr>
        <w:numPr>
          <w:ilvl w:val="0"/>
          <w:numId w:val="1001"/>
        </w:numPr>
        <w:pStyle w:val="Compact"/>
      </w:pPr>
      <w:r>
        <w:rPr>
          <w:bCs/>
          <w:b/>
        </w:rPr>
        <w:t xml:space="preserve">Financial Risk Mapping:</w:t>
      </w:r>
      <w:r>
        <w:t xml:space="preserve"> </w:t>
      </w:r>
      <w:r>
        <w:t xml:space="preserve">Accountants flagged a 19% increase in overdue client payments from Ankara-based clients (a trend overlooked by sales teams). By correlating this with credit reports from Turkey's Cari Veri Bankası, they prevented ₺1.8 million in potential bad debt, directly protecting Q3 sales performance.</w:t>
      </w:r>
    </w:p>
    <w:bookmarkEnd w:id="22"/>
    <w:bookmarkStart w:id="23" w:name="X62e946611e96067f3829b349fc5fd9a7def872d"/>
    <w:p>
      <w:pPr>
        <w:pStyle w:val="Heading2"/>
      </w:pPr>
      <w:r>
        <w:t xml:space="preserve">IV. Istanbul-Specific Challenges &amp; Accounting Solutions</w:t>
      </w:r>
    </w:p>
    <w:p>
      <w:pPr>
        <w:pStyle w:val="FirstParagraph"/>
      </w:pPr>
      <w:r>
        <w:t xml:space="preserve">Istanbul's unique business ecosystem demands specialized accounting approaches. Key challenges addressed this quarter included:</w:t>
      </w:r>
    </w:p>
    <w:p>
      <w:pPr>
        <w:numPr>
          <w:ilvl w:val="0"/>
          <w:numId w:val="1002"/>
        </w:numPr>
        <w:pStyle w:val="Compact"/>
      </w:pPr>
      <w:r>
        <w:rPr>
          <w:bCs/>
          <w:b/>
        </w:rPr>
        <w:t xml:space="preserve">Geopolitical Volatility:</w:t>
      </w:r>
      <w:r>
        <w:t xml:space="preserve"> </w:t>
      </w:r>
      <w:r>
        <w:t xml:space="preserve">Fluctuations in TRY exchange rates impacted sales from export clients. Accountants implemented forward hedging strategies using Istanbul-based financial institutions, reducing forex-related revenue variance by 31%.</w:t>
      </w:r>
    </w:p>
    <w:p>
      <w:pPr>
        <w:numPr>
          <w:ilvl w:val="0"/>
          <w:numId w:val="1002"/>
        </w:numPr>
        <w:pStyle w:val="Compact"/>
      </w:pPr>
      <w:r>
        <w:rPr>
          <w:bCs/>
          <w:b/>
        </w:rPr>
        <w:t xml:space="preserve">Tax Complexity:</w:t>
      </w:r>
      <w:r>
        <w:t xml:space="preserve"> </w:t>
      </w:r>
      <w:r>
        <w:t xml:space="preserve">Turkey's "KDV Oranları" (VAT rates) vary by industry (e.g., 8% for essential goods). Our accountants developed a dynamic Excel template linked to the Turkish Customs and Trade Ministry database, auto-applying rates during sales invoicing—cutting errors by 90%.</w:t>
      </w:r>
    </w:p>
    <w:p>
      <w:pPr>
        <w:numPr>
          <w:ilvl w:val="0"/>
          <w:numId w:val="1002"/>
        </w:numPr>
        <w:pStyle w:val="Compact"/>
      </w:pPr>
      <w:r>
        <w:rPr>
          <w:bCs/>
          <w:b/>
        </w:rPr>
        <w:t xml:space="preserve">Local Compliance Culture:</w:t>
      </w:r>
      <w:r>
        <w:t xml:space="preserve"> </w:t>
      </w:r>
      <w:r>
        <w:t xml:space="preserve">Istanbul businesses prioritize face-to-face relationship-building. Accountants attended monthly sector meetings with the Istanbul Chamber of Commerce (Istanbul Ticaret Odası), aligning our reporting with local expectations and building trust that accelerated sales cycles.</w:t>
      </w:r>
    </w:p>
    <w:bookmarkEnd w:id="23"/>
    <w:bookmarkStart w:id="24" w:name="Xa411f8252b2821f4f6c771ce7296638d578b3b6"/>
    <w:p>
      <w:pPr>
        <w:pStyle w:val="Heading2"/>
      </w:pPr>
      <w:r>
        <w:t xml:space="preserve">V. Recommendations for Future Q4 2023: Integrating Sales &amp; Accounting in Turkey</w:t>
      </w:r>
    </w:p>
    <w:p>
      <w:pPr>
        <w:pStyle w:val="FirstParagraph"/>
      </w:pPr>
      <w:r>
        <w:t xml:space="preserve">Based on Q3 results, we propose these Istanbul-focused actions to enhance the accountant-sales team synergy:</w:t>
      </w:r>
    </w:p>
    <w:p>
      <w:pPr>
        <w:numPr>
          <w:ilvl w:val="0"/>
          <w:numId w:val="1003"/>
        </w:numPr>
        <w:pStyle w:val="Compact"/>
      </w:pPr>
      <w:r>
        <w:rPr>
          <w:bCs/>
          <w:b/>
        </w:rPr>
        <w:t xml:space="preserve">Deploy Cloud-Based TMS Software:</w:t>
      </w:r>
      <w:r>
        <w:t xml:space="preserve"> </w:t>
      </w:r>
      <w:r>
        <w:t xml:space="preserve">Adopt Turkish-compliant accounting software (e.g., "Muhasebe 10") for real-time sales data integration. This will allow accountants to flag VAT errors before customer invoices are issued—critical for Istanbul's high-volume, fast-paced retail environment.</w:t>
      </w:r>
    </w:p>
    <w:p>
      <w:pPr>
        <w:numPr>
          <w:ilvl w:val="0"/>
          <w:numId w:val="1003"/>
        </w:numPr>
        <w:pStyle w:val="Compact"/>
      </w:pPr>
      <w:r>
        <w:rPr>
          <w:bCs/>
          <w:b/>
        </w:rPr>
        <w:t xml:space="preserve">Establish a "Turkish Compliance Council":</w:t>
      </w:r>
      <w:r>
        <w:t xml:space="preserve"> </w:t>
      </w:r>
      <w:r>
        <w:t xml:space="preserve">Create a cross-functional team (sales leads + accountants) to review new contracts against Turkey's updated tax laws (e.g., Law No. 7205 on VAT amendments). This prevents sales teams from agreeing to terms that trigger accounting penalties.</w:t>
      </w:r>
    </w:p>
    <w:p>
      <w:pPr>
        <w:numPr>
          <w:ilvl w:val="0"/>
          <w:numId w:val="1003"/>
        </w:numPr>
        <w:pStyle w:val="Compact"/>
      </w:pPr>
      <w:r>
        <w:rPr>
          <w:bCs/>
          <w:b/>
        </w:rPr>
        <w:t xml:space="preserve">Invest in Local Tax Training:</w:t>
      </w:r>
      <w:r>
        <w:t xml:space="preserve"> </w:t>
      </w:r>
      <w:r>
        <w:t xml:space="preserve">Partner with Istanbul Technical University's Accounting Department for specialized training on Turkish Corporate Tax Law updates, ensuring our accountants remain ahead of regulatory shifts unique to Turkey.</w:t>
      </w:r>
    </w:p>
    <w:bookmarkEnd w:id="24"/>
    <w:bookmarkStart w:id="25" w:name="X3541d9d6cfb7856af093e9cc0b3572912edeb7b"/>
    <w:p>
      <w:pPr>
        <w:pStyle w:val="Heading2"/>
      </w:pPr>
      <w:r>
        <w:t xml:space="preserve">VI. Conclusion: The Accountant as Sales Enabler in Istanbul</w:t>
      </w:r>
    </w:p>
    <w:p>
      <w:pPr>
        <w:pStyle w:val="FirstParagraph"/>
      </w:pPr>
      <w:r>
        <w:t xml:space="preserve">In Turkey's Istanbul market—a nexus of global trade and local tradition—sales success is inextricably linked to accounting excellence. Our Q3 results prove that proactive, locally adapted accountants do not just process transactions; they optimize revenue, mitigate legal risk, and build the trust that fuels sustainable sales growth. As Turkey navigates economic reforms under its new 2023-2025 investment plan (especially in Istanbul's free zones), this synergy will become even more critical. We recommend elevating the accountant's role from a compliance function to a strategic sales partner, with dedicated budget allocation for local regulatory expertise. For the Istanbul branch, where every sale impacts Turkey's economic landscape, this is not optional—it is essential.</w:t>
      </w:r>
    </w:p>
    <w:p>
      <w:pPr>
        <w:pStyle w:val="BodyText"/>
      </w:pPr>
      <w:r>
        <w:rPr>
          <w:bCs/>
          <w:b/>
        </w:rPr>
        <w:t xml:space="preserve">Report Endorsed By:</w:t>
      </w:r>
      <w:r>
        <w:t xml:space="preserve"> </w:t>
      </w:r>
      <w:r>
        <w:t xml:space="preserve">Mehmet Yılmaz, Head of Finance</w:t>
      </w:r>
      <w:r>
        <w:br/>
      </w:r>
      <w:r>
        <w:rPr>
          <w:bCs/>
          <w:b/>
        </w:rPr>
        <w:t xml:space="preserve">Istanbul Office Location:</w:t>
      </w:r>
      <w:r>
        <w:t xml:space="preserve"> </w:t>
      </w:r>
      <w:r>
        <w:t xml:space="preserve">Taksim Plaza Building, Şişli District</w:t>
      </w:r>
      <w:r>
        <w:br/>
      </w:r>
      <w:r>
        <w:rPr>
          <w:bCs/>
          <w:b/>
        </w:rPr>
        <w:t xml:space="preserve">Compliance Reference:</w:t>
      </w:r>
      <w:r>
        <w:t xml:space="preserve"> </w:t>
      </w:r>
      <w:r>
        <w:t xml:space="preserve">Turkish Accounting Standards (TMS), Gelir İdaresi Başkanlığı Circulars 2023-15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&amp; Compliance in Istanbul, Turkey</dc:title>
  <dc:creator/>
  <dc:language>en</dc:language>
  <cp:keywords/>
  <dcterms:created xsi:type="dcterms:W3CDTF">2026-07-23T18:13:54Z</dcterms:created>
  <dcterms:modified xsi:type="dcterms:W3CDTF">2026-07-23T18:13:54Z</dcterms:modified>
</cp:coreProperties>
</file>

<file path=docProps/custom.xml><?xml version="1.0" encoding="utf-8"?>
<Properties xmlns="http://schemas.openxmlformats.org/officeDocument/2006/custom-properties" xmlns:vt="http://schemas.openxmlformats.org/officeDocument/2006/docPropsVTypes"/>
</file>