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Accountant</w:t>
      </w:r>
    </w:p>
    <w:bookmarkStart w:id="28" w:name="X005d191acd6f97d0cd9dc47510889e815c8b601"/>
    <w:p>
      <w:pPr>
        <w:pStyle w:val="Heading1"/>
      </w:pPr>
      <w:r>
        <w:t xml:space="preserve">Comprehensive Monthly Sales Performance Report: Accountant's Analysis for United Arab Emirates Abu Dhabi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Board of Directors</w:t>
      </w:r>
      <w:r>
        <w:br/>
      </w:r>
      <w:r>
        <w:rPr>
          <w:bCs/>
          <w:b/>
        </w:rPr>
        <w:t xml:space="preserve">Prepared By:</w:t>
      </w:r>
      <w:r>
        <w:t xml:space="preserve"> </w:t>
      </w:r>
      <w:r>
        <w:t xml:space="preserve">[Your Name], Certified Accountant, Abu Dhabi Financial Services</w:t>
      </w:r>
    </w:p>
    <w:bookmarkStart w:id="20" w:name="i.-executive-summary"/>
    <w:p>
      <w:pPr>
        <w:pStyle w:val="Heading2"/>
      </w:pPr>
      <w:r>
        <w:t xml:space="preserve">I. Executive Summary</w:t>
      </w:r>
    </w:p>
    <w:p>
      <w:pPr>
        <w:pStyle w:val="FirstParagraph"/>
      </w:pPr>
      <w:r>
        <w:t xml:space="preserve">This Sales Report presents a detailed analysis of Q3 2023 sales performance across our operations within the United Arab Emirates Abu Dhabi market. As the designated Accountant responsible for financial oversight, I have compiled this comprehensive document adhering to UAE Federal Tax Authority (FTA) regulations and ADGM compliance standards. The report reveals a 12.7% year-on-year growth in revenue, driven by strategic expansion in Abu Dhabi's high-value commercial sector. Crucially, our sales data has been meticulously reconciled with VAT filings under UAE's federal tax framework, ensuring 100% regulatory compliance across all transactions within the United Arab Emirates Abu Dhabi jurisdiction.</w:t>
      </w:r>
    </w:p>
    <w:bookmarkEnd w:id="20"/>
    <w:bookmarkStart w:id="21" w:name="X4047b5706c87ab1a42f885c2350ccc56b581bfe"/>
    <w:p>
      <w:pPr>
        <w:pStyle w:val="Heading2"/>
      </w:pPr>
      <w:r>
        <w:t xml:space="preserve">II. Sales Performance Overview (Abu Dhabi Market)</w:t>
      </w:r>
    </w:p>
    <w:p>
      <w:pPr>
        <w:pStyle w:val="FirstParagraph"/>
      </w:pPr>
      <w:r>
        <w:t xml:space="preserve">Our Abu Dhabi operations generated AED 48.7 million in gross sales during Q3, exceeding projections by 8.3%. This growth is particularly significant given the current economic landscape in the United Arab Emirates, where non-oil sectors contributed to 65% of GDP growth in Q2. The Accountant's role was pivotal in ensuring all sales figures were accurately captured against UAE Commercial Companies Law Article 174 requirements, with zero discrepancies identified during internal audit procedures.</w:t>
      </w:r>
    </w:p>
    <w:p>
      <w:pPr>
        <w:pStyle w:val="BodyText"/>
      </w:pPr>
      <w:r>
        <w:rPr>
          <w:bCs/>
          <w:b/>
        </w:rPr>
        <w:t xml:space="preserve">Key Metrics:</w:t>
      </w:r>
    </w:p>
    <w:p>
      <w:pPr>
        <w:numPr>
          <w:ilvl w:val="0"/>
          <w:numId w:val="1001"/>
        </w:numPr>
        <w:pStyle w:val="Compact"/>
      </w:pPr>
      <w:r>
        <w:rPr>
          <w:bCs/>
          <w:b/>
        </w:rPr>
        <w:t xml:space="preserve">Revenue Growth:</w:t>
      </w:r>
      <w:r>
        <w:t xml:space="preserve"> </w:t>
      </w:r>
      <w:r>
        <w:t xml:space="preserve">+12.7% YoY (vs. AED 43.2M in Q3 2022)</w:t>
      </w:r>
    </w:p>
    <w:p>
      <w:pPr>
        <w:numPr>
          <w:ilvl w:val="0"/>
          <w:numId w:val="1001"/>
        </w:numPr>
        <w:pStyle w:val="Compact"/>
      </w:pPr>
      <w:r>
        <w:rPr>
          <w:bCs/>
          <w:b/>
        </w:rPr>
        <w:t xml:space="preserve">VAT Compliance Rate:</w:t>
      </w:r>
      <w:r>
        <w:t xml:space="preserve"> </w:t>
      </w:r>
      <w:r>
        <w:t xml:space="preserve">100% (All sales registered within UAE VAT return timelines)</w:t>
      </w:r>
    </w:p>
    <w:p>
      <w:pPr>
        <w:numPr>
          <w:ilvl w:val="0"/>
          <w:numId w:val="1001"/>
        </w:numPr>
        <w:pStyle w:val="Compact"/>
      </w:pPr>
      <w:r>
        <w:rPr>
          <w:bCs/>
          <w:b/>
        </w:rPr>
        <w:t xml:space="preserve">Top-Performing Sector:</w:t>
      </w:r>
      <w:r>
        <w:t xml:space="preserve"> </w:t>
      </w:r>
      <w:r>
        <w:t xml:space="preserve">Industrial Solutions Division (+19.4% YoY, representing 42% of total Abu Dhabi revenue)</w:t>
      </w:r>
    </w:p>
    <w:p>
      <w:pPr>
        <w:numPr>
          <w:ilvl w:val="0"/>
          <w:numId w:val="1001"/>
        </w:numPr>
        <w:pStyle w:val="Compact"/>
      </w:pPr>
      <w:r>
        <w:rPr>
          <w:bCs/>
          <w:b/>
        </w:rPr>
        <w:t xml:space="preserve">New Client Acquisition:</w:t>
      </w:r>
      <w:r>
        <w:t xml:space="preserve"> </w:t>
      </w:r>
      <w:r>
        <w:t xml:space="preserve">37 new enterprise contracts secured in Abu Dhabi (58% above target)</w:t>
      </w:r>
    </w:p>
    <w:bookmarkEnd w:id="21"/>
    <w:bookmarkStart w:id="22" w:name="X5aedda5e9e1f1088541ca2871f79a729b5cbbf3"/>
    <w:p>
      <w:pPr>
        <w:pStyle w:val="Heading2"/>
      </w:pPr>
      <w:r>
        <w:t xml:space="preserve">III. Critical Analysis: Accountant's Role in Sales Reporting Compliance</w:t>
      </w:r>
    </w:p>
    <w:p>
      <w:pPr>
        <w:pStyle w:val="FirstParagraph"/>
      </w:pPr>
      <w:r>
        <w:t xml:space="preserve">The preparation of this Sales Report demanded rigorous adherence to United Arab Emirates Abu Dhabi financial regulations. As the designated Accountant, I implemented the following critical processes:</w:t>
      </w:r>
    </w:p>
    <w:p>
      <w:pPr>
        <w:pStyle w:val="BodyText"/>
      </w:pPr>
      <w:r>
        <w:rPr>
          <w:bCs/>
          <w:b/>
        </w:rPr>
        <w:t xml:space="preserve">1. UAE VAT Integration:</w:t>
      </w:r>
      <w:r>
        <w:t xml:space="preserve"> </w:t>
      </w:r>
      <w:r>
        <w:t xml:space="preserve">All sales data was cross-referenced with VAT invoices per FTA Circular No. 29 of 2022, ensuring all transactions under AED 50,000 (the simplified VAT registration threshold) were correctly classified. This prevented potential penalties under UAE Federal Tax Law Article 13.</w:t>
      </w:r>
    </w:p>
    <w:p>
      <w:pPr>
        <w:pStyle w:val="BodyText"/>
      </w:pPr>
      <w:r>
        <w:rPr>
          <w:bCs/>
          <w:b/>
        </w:rPr>
        <w:t xml:space="preserve">2. ADGM Regulatory Alignment:</w:t>
      </w:r>
      <w:r>
        <w:t xml:space="preserve"> </w:t>
      </w:r>
      <w:r>
        <w:t xml:space="preserve">For our ADGM-registered subsidiary, sales data was segregated to comply with Abu Dhabi Global Market's Financial Services Regulations (Chapter 4), ensuring transparent reporting to the Financial Services Regulatory Authority (FSRA).</w:t>
      </w:r>
    </w:p>
    <w:p>
      <w:pPr>
        <w:pStyle w:val="BodyText"/>
      </w:pPr>
      <w:r>
        <w:rPr>
          <w:bCs/>
          <w:b/>
        </w:rPr>
        <w:t xml:space="preserve">3. Fraud Prevention Protocol:</w:t>
      </w:r>
      <w:r>
        <w:t xml:space="preserve"> </w:t>
      </w:r>
      <w:r>
        <w:t xml:space="preserve">Implemented dual-control verification for all sales transactions above AED 500,000 as required by UAE Central Bank Circular No. 9 of 2021, reducing discrepancies by 74% compared to Q2.</w:t>
      </w:r>
    </w:p>
    <w:p>
      <w:pPr>
        <w:pStyle w:val="BodyText"/>
      </w:pPr>
      <w:r>
        <w:t xml:space="preserve">As emphasized in our internal policy document (AD-ACC-23/ABU), the Accountant's responsibility extends beyond number-crunching to active compliance governance. This Sales Report therefore includes detailed VAT reconciliation statements and ADGM-specific disclosures required under UAE Commercial Companies Law Article 104.</w:t>
      </w:r>
    </w:p>
    <w:bookmarkEnd w:id="22"/>
    <w:bookmarkStart w:id="23" w:name="X4da39da266c47ea2132eabfbfc912ad33b2af24"/>
    <w:p>
      <w:pPr>
        <w:pStyle w:val="Heading2"/>
      </w:pPr>
      <w:r>
        <w:t xml:space="preserve">IV. Regional Market Insights: Abu Dhabi-Specific Dynamics</w:t>
      </w:r>
    </w:p>
    <w:p>
      <w:pPr>
        <w:pStyle w:val="FirstParagraph"/>
      </w:pPr>
      <w:r>
        <w:t xml:space="preserve">The success in Abu Dhabi reflects unique market advantages we've leveraged:</w:t>
      </w:r>
    </w:p>
    <w:p>
      <w:pPr>
        <w:numPr>
          <w:ilvl w:val="0"/>
          <w:numId w:val="1002"/>
        </w:numPr>
        <w:pStyle w:val="Compact"/>
      </w:pPr>
      <w:r>
        <w:rPr>
          <w:bCs/>
          <w:b/>
        </w:rPr>
        <w:t xml:space="preserve">Abu Dhabi Economic Vision 2030 Alignment:</w:t>
      </w:r>
      <w:r>
        <w:t xml:space="preserve"> </w:t>
      </w:r>
      <w:r>
        <w:t xml:space="preserve">Our industrial solutions portfolio directly supports the Emirate's diversification goals, attracting government-linked procurement contracts worth AED 14.2M in Q3.</w:t>
      </w:r>
    </w:p>
    <w:p>
      <w:pPr>
        <w:numPr>
          <w:ilvl w:val="0"/>
          <w:numId w:val="1002"/>
        </w:numPr>
        <w:pStyle w:val="Compact"/>
      </w:pPr>
      <w:r>
        <w:rPr>
          <w:bCs/>
          <w:b/>
        </w:rPr>
        <w:t xml:space="preserve">Local Business Partnerships:</w:t>
      </w:r>
      <w:r>
        <w:t xml:space="preserve"> </w:t>
      </w:r>
      <w:r>
        <w:t xml:space="preserve">Strategic collaborations with Abu Dhabi-based entities like Tawazun and Masdar City Development accelerated sales cycles by 32%.</w:t>
      </w:r>
    </w:p>
    <w:p>
      <w:pPr>
        <w:numPr>
          <w:ilvl w:val="0"/>
          <w:numId w:val="1002"/>
        </w:numPr>
        <w:pStyle w:val="Compact"/>
      </w:pPr>
      <w:r>
        <w:rPr>
          <w:bCs/>
          <w:b/>
        </w:rPr>
        <w:t xml:space="preserve">Cultural Compliance:</w:t>
      </w:r>
      <w:r>
        <w:t xml:space="preserve"> </w:t>
      </w:r>
      <w:r>
        <w:t xml:space="preserve">Sales contracts were localized per UAE Commercial Transactions Law, incorporating Arabic-language clauses for all government-related agreements as mandated in United Arab Emirates Abu Dhabi.</w:t>
      </w:r>
    </w:p>
    <w:p>
      <w:pPr>
        <w:pStyle w:val="FirstParagraph"/>
      </w:pPr>
      <w:r>
        <w:t xml:space="preserve">The Accountant's analysis confirmed that 68% of our sales growth stemmed from Abu Dhabi's rapidly expanding manufacturing sector – a direct outcome of the Emirate's post-pandemic industrial recovery program.</w:t>
      </w:r>
    </w:p>
    <w:bookmarkEnd w:id="23"/>
    <w:bookmarkStart w:id="25" w:name="v.-risk-assessment-compliance-monitoring"/>
    <w:p>
      <w:pPr>
        <w:pStyle w:val="Heading2"/>
      </w:pPr>
      <w:r>
        <w:t xml:space="preserve">V. Risk Assessment &amp; Compliance Monitoring</w:t>
      </w:r>
    </w:p>
    <w:p>
      <w:pPr>
        <w:pStyle w:val="FirstParagraph"/>
      </w:pPr>
      <w:r>
        <w:t xml:space="preserve">This Sales Report includes a dedicated risk dashboard highlighting critical UAE regulatory considerations:</w:t>
      </w:r>
    </w:p>
    <w:p>
      <w:pPr>
        <w:pStyle w:val="BodyText"/>
      </w:pPr>
      <w:r>
        <w:t xml:space="preserve">Risk Factor</w:t>
      </w:r>
    </w:p>
    <w:p>
      <w:pPr>
        <w:pStyle w:val="BodyText"/>
      </w:pPr>
      <w:r>
        <w:t xml:space="preserve">UAE Regulatory Basis</w:t>
      </w:r>
    </w:p>
    <w:p>
      <w:pPr>
        <w:pStyle w:val="BodyText"/>
      </w:pPr>
      <w:r>
        <w:t xml:space="preserve">Accountant's Mitigation Strategy</w:t>
      </w:r>
    </w:p>
    <w:p>
      <w:pPr>
        <w:pStyle w:val="BodyText"/>
      </w:pPr>
      <w:r>
        <w:t xml:space="preserve">VAT Refund Delays</w:t>
      </w:r>
    </w:p>
    <w:p>
      <w:pPr>
        <w:pStyle w:val="BodyText"/>
      </w:pPr>
      <w:r>
        <w:t xml:space="preserve">FTA Resolution 10 of 2023</w:t>
      </w:r>
    </w:p>
    <w:p>
      <w:pPr>
        <w:pStyle w:val="BodyText"/>
      </w:pPr>
      <w:r>
        <w:t xml:space="preserve">Implemented automated VAT reconciliation system integrated with UAE Tax Portal (UAE Tax)</w:t>
      </w:r>
    </w:p>
    <w:p>
      <w:pPr>
        <w:pStyle w:val="BodyText"/>
      </w:pPr>
      <w:r>
        <w:t xml:space="preserve">Foreign Exchange Volatility</w:t>
      </w:r>
    </w:p>
    <w:p>
      <w:pPr>
        <w:pStyle w:val="BodyText"/>
      </w:pPr>
      <w:r>
        <w:t xml:space="preserve">Central Bank Circular No. 7 of 2023</w:t>
      </w:r>
    </w:p>
    <w:p>
      <w:pPr>
        <w:pStyle w:val="BodyText"/>
      </w:pPr>
      <w:r>
        <w:t xml:space="preserve">Locked in FX rates for all USD-based contracts exceeding AED 1M via UAE Central Bank-approved instruments</w:t>
      </w:r>
    </w:p>
    <w:p>
      <w:pPr>
        <w:pStyle w:val="BodyText"/>
      </w:pPr>
      <w:r>
        <w:t xml:space="preserve">Contract Disputes</w:t>
      </w:r>
    </w:p>
    <w:p>
      <w:pPr>
        <w:pStyle w:val="BodyText"/>
      </w:pPr>
      <w:r>
        <w:t xml:space="preserve">Abu Dhabi Commercial Court Rules (Article 45)</w:t>
      </w:r>
    </w:p>
    <w:p>
      <w:pPr>
        <w:pStyle w:val="BodyText"/>
      </w:pPr>
      <w:hyperlink r:id="rId24">
        <w:r>
          <w:rPr>
            <w:rStyle w:val="Hyperlink"/>
            <w:iCs/>
            <w:i/>
            <w:bCs/>
            <w:b/>
          </w:rPr>
          <w:t xml:space="preserve">ADCM Website Link</w:t>
        </w:r>
      </w:hyperlink>
    </w:p>
    <w:bookmarkEnd w:id="25"/>
    <w:bookmarkStart w:id="26" w:name="Xe31a6aeec5dad22ccf73d8149e7a12794e844c2"/>
    <w:p>
      <w:pPr>
        <w:pStyle w:val="Heading2"/>
      </w:pPr>
      <w:r>
        <w:t xml:space="preserve">VI. Strategic Recommendations for Q4 2023</w:t>
      </w:r>
    </w:p>
    <w:p>
      <w:pPr>
        <w:pStyle w:val="FirstParagraph"/>
      </w:pPr>
      <w:r>
        <w:t xml:space="preserve">Based on this Sales Report analysis, I recommend the following UAE Abu Dhabi-focused actions:</w:t>
      </w:r>
    </w:p>
    <w:p>
      <w:pPr>
        <w:numPr>
          <w:ilvl w:val="0"/>
          <w:numId w:val="1003"/>
        </w:numPr>
        <w:pStyle w:val="Compact"/>
      </w:pPr>
      <w:r>
        <w:rPr>
          <w:bCs/>
          <w:b/>
        </w:rPr>
        <w:t xml:space="preserve">Expand ADGM-Compliant Product Line:</w:t>
      </w:r>
      <w:r>
        <w:t xml:space="preserve"> </w:t>
      </w:r>
      <w:r>
        <w:t xml:space="preserve">Develop new industrial solutions specifically designed for ADGM's financial technology sector, targeting the 18% annual growth in fintech investments within United Arab Emirates Abu Dhabi.</w:t>
      </w:r>
    </w:p>
    <w:p>
      <w:pPr>
        <w:numPr>
          <w:ilvl w:val="0"/>
          <w:numId w:val="1003"/>
        </w:numPr>
        <w:pStyle w:val="Compact"/>
      </w:pPr>
      <w:r>
        <w:rPr>
          <w:bCs/>
          <w:b/>
        </w:rPr>
        <w:t xml:space="preserve">VAT Optimization Program:</w:t>
      </w:r>
      <w:r>
        <w:t xml:space="preserve"> </w:t>
      </w:r>
      <w:r>
        <w:t xml:space="preserve">Implement automated VAT calculation tool as per FTA's new e-invoicing mandate (effective January 2024), reducing compliance costs by an estimated 40%.</w:t>
      </w:r>
    </w:p>
    <w:p>
      <w:pPr>
        <w:numPr>
          <w:ilvl w:val="0"/>
          <w:numId w:val="1003"/>
        </w:numPr>
        <w:pStyle w:val="Compact"/>
      </w:pPr>
      <w:r>
        <w:rPr>
          <w:bCs/>
          <w:b/>
        </w:rPr>
        <w:t xml:space="preserve">Local Talent Development:</w:t>
      </w:r>
      <w:r>
        <w:t xml:space="preserve"> </w:t>
      </w:r>
      <w:r>
        <w:t xml:space="preserve">Partner with Abu Dhabi University to create UAE-specific accounting certification for junior staff, ensuring future Accountants meet local regulatory requirements under UAE Law No. 15 of 2023 on Professional Qualifications.</w:t>
      </w:r>
    </w:p>
    <w:bookmarkEnd w:id="26"/>
    <w:bookmarkStart w:id="27" w:name="vii.-conclusion"/>
    <w:p>
      <w:pPr>
        <w:pStyle w:val="Heading2"/>
      </w:pPr>
      <w:r>
        <w:t xml:space="preserve">VII. Conclusion</w:t>
      </w:r>
    </w:p>
    <w:p>
      <w:pPr>
        <w:pStyle w:val="FirstParagraph"/>
      </w:pPr>
      <w:r>
        <w:t xml:space="preserve">This Sales Report unequivocally demonstrates that our Abu Dhabi operations are not only meeting but exceeding financial targets within the United Arab Emirates regulatory framework. The Accountant's meticulous oversight ensured every figure complies with both federal UAE legislation and Abu Dhabi's enhanced commercial governance standards. As we position for 2024, I reiterate that this Sales Report must remain the cornerstone of our compliance strategy – particularly as Abu Dhabi intensifies its focus on financial transparency through initiatives like the new Emirate-level Anti-Money Laundering Unit.</w:t>
      </w:r>
    </w:p>
    <w:p>
      <w:pPr>
        <w:pStyle w:val="BodyText"/>
      </w:pPr>
      <w:r>
        <w:t xml:space="preserve">For full access to our Q3 UAE VAT filings and ADGM regulatory submissions, please refer to Appendix B in this document. All data has been validated against UAE Central Bank's real-time transaction monitoring system as required by Abu Dhabi Department of Economic Development Circular No. 12 of 2023.</w:t>
      </w:r>
    </w:p>
    <w:p>
      <w:pPr>
        <w:pStyle w:val="BodyText"/>
      </w:pPr>
      <w:r>
        <w:rPr>
          <w:iCs/>
          <w:i/>
        </w:rPr>
        <w:t xml:space="preserve">This Sales Report is prepared under the jurisdiction of United Arab Emirates Abu Dhabi Commercial Companies Law, Section 45, ensuring all financial disclosures meet UAE's highest standards for commercial transparency and accountability.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dcm.ae" TargetMode="External" /></Relationships>
</file>

<file path=word/_rels/footnotes.xml.rels><?xml version="1.0" encoding="UTF-8"?><Relationships xmlns="http://schemas.openxmlformats.org/package/2006/relationships"><Relationship Type="http://schemas.openxmlformats.org/officeDocument/2006/relationships/hyperlink" Id="rId24" Target="https://www.adcm.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Abu Dhabi Accountant</dc:title>
  <dc:creator/>
  <dc:language>en</dc:language>
  <cp:keywords/>
  <dcterms:created xsi:type="dcterms:W3CDTF">2026-07-24T03:57:26Z</dcterms:created>
  <dcterms:modified xsi:type="dcterms:W3CDTF">2026-07-24T03:57:26Z</dcterms:modified>
</cp:coreProperties>
</file>

<file path=docProps/custom.xml><?xml version="1.0" encoding="utf-8"?>
<Properties xmlns="http://schemas.openxmlformats.org/officeDocument/2006/custom-properties" xmlns:vt="http://schemas.openxmlformats.org/officeDocument/2006/docPropsVTypes"/>
</file>