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Dubai</w:t>
      </w:r>
      <w:r>
        <w:t xml:space="preserve"> </w:t>
      </w:r>
      <w:r>
        <w:t xml:space="preserve">UAE</w:t>
      </w:r>
    </w:p>
    <w:bookmarkStart w:id="32" w:name="Xd8c5b7aed6a51b1a26061f6b71ec96a6357ea73"/>
    <w:p>
      <w:pPr>
        <w:pStyle w:val="Heading1"/>
      </w:pPr>
      <w:r>
        <w:t xml:space="preserve">Comprehensive Sales Performance Report &amp; Financial Analysis: Accountant Perspective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w:t>
      </w:r>
      <w:r>
        <w:br/>
      </w:r>
      <w:r>
        <w:rPr>
          <w:bCs/>
          <w:b/>
        </w:rPr>
        <w:t xml:space="preserve">Prepared By:</w:t>
      </w:r>
      <w:r>
        <w:t xml:space="preserve"> </w:t>
      </w:r>
      <w:r>
        <w:t xml:space="preserve">Finance and Accounting Department</w:t>
      </w:r>
      <w:r>
        <w:br/>
      </w:r>
      <w:r>
        <w:rPr>
          <w:bCs/>
          <w:b/>
        </w:rPr>
        <w:t xml:space="preserve">Reporting Period:</w:t>
      </w:r>
      <w:r>
        <w:t xml:space="preserve"> </w:t>
      </w:r>
      <w:r>
        <w:t xml:space="preserve">Q3 2023 (July 1 - September 30, 2023)</w:t>
      </w:r>
      <w:r>
        <w:br/>
      </w:r>
      <w:r>
        <w:rPr>
          <w:bCs/>
          <w:b/>
        </w:rPr>
        <w:t xml:space="preserve">Jurisdiction:</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Sales Report provides a detailed financial analysis of sales performance across all Dubai operations for the third quarter of 2023, prepared specifically from the perspective of our Accountant team in compliance with UAE Federal Tax Authority (FTA) regulations. Total sales revenue reached AED 14.85 million, representing a 12.7% year-over-year growth and surpassing Q3 targets by 8.3%. The Accountant team played a pivotal role in ensuring precise sales data reporting, VAT compliance across Dubai's diverse commercial zones, and financial transparency required by the UAE Central Bank. This report demonstrates how meticulous accounting practices directly contribute to strategic business decisions in the competitive Dubai market.</w:t>
      </w:r>
    </w:p>
    <w:bookmarkEnd w:id="20"/>
    <w:bookmarkStart w:id="23" w:name="Xa90d94283fb6693029e92e325ae741dd9b91b2c"/>
    <w:p>
      <w:pPr>
        <w:pStyle w:val="Heading2"/>
      </w:pPr>
      <w:r>
        <w:t xml:space="preserve">II. Sales Performance Analysis (Dubai Focus)</w:t>
      </w:r>
    </w:p>
    <w:bookmarkStart w:id="21" w:name="a.-regional-breakdown-dubai-operations"/>
    <w:p>
      <w:pPr>
        <w:pStyle w:val="Heading3"/>
      </w:pPr>
      <w:r>
        <w:t xml:space="preserve">A. Regional Breakdown (Dubai Operations)</w:t>
      </w:r>
    </w:p>
    <w:p>
      <w:pPr>
        <w:pStyle w:val="FirstParagraph"/>
      </w:pPr>
      <w:r>
        <w:t xml:space="preserve">Dubai contributed 78% of total UAE sales revenue during Q3, with significant growth in key sectors:</w:t>
      </w:r>
    </w:p>
    <w:p>
      <w:pPr>
        <w:numPr>
          <w:ilvl w:val="0"/>
          <w:numId w:val="1001"/>
        </w:numPr>
        <w:pStyle w:val="Compact"/>
      </w:pPr>
      <w:r>
        <w:rPr>
          <w:bCs/>
          <w:b/>
        </w:rPr>
        <w:t xml:space="preserve">Commercial Sector:</w:t>
      </w:r>
      <w:r>
        <w:t xml:space="preserve"> </w:t>
      </w:r>
      <w:r>
        <w:t xml:space="preserve">AED 6.2 million (+15.2% YoY) – Driven by new contracts in Dubai International Financial Centre (DIFC)</w:t>
      </w:r>
    </w:p>
    <w:p>
      <w:pPr>
        <w:numPr>
          <w:ilvl w:val="0"/>
          <w:numId w:val="1001"/>
        </w:numPr>
        <w:pStyle w:val="Compact"/>
      </w:pPr>
      <w:r>
        <w:rPr>
          <w:bCs/>
          <w:b/>
        </w:rPr>
        <w:t xml:space="preserve">Retail &amp; Hospitality:</w:t>
      </w:r>
      <w:r>
        <w:t xml:space="preserve"> </w:t>
      </w:r>
      <w:r>
        <w:t xml:space="preserve">AED 4.9 million (+9.8% YoY) – Recovery post-Expo 2020, especially strong in Downtown Dubai and Mall of the Emirates</w:t>
      </w:r>
    </w:p>
    <w:bookmarkEnd w:id="21"/>
    <w:bookmarkStart w:id="22" w:name="b.-sales-vs.-budget-comparison-q3-2023"/>
    <w:p>
      <w:pPr>
        <w:pStyle w:val="Heading3"/>
      </w:pPr>
      <w:r>
        <w:t xml:space="preserve">B. Sales vs. Budget Comparison (Q3 2023)</w:t>
      </w:r>
    </w:p>
    <w:p>
      <w:pPr>
        <w:pStyle w:val="FirstParagraph"/>
      </w:pPr>
      <w:r>
        <w:t xml:space="preserve">Category</w:t>
      </w:r>
    </w:p>
    <w:p>
      <w:pPr>
        <w:pStyle w:val="BodyText"/>
      </w:pPr>
      <w:r>
        <w:t xml:space="preserve">Budgeted Revenue (AED)</w:t>
      </w:r>
    </w:p>
    <w:p>
      <w:pPr>
        <w:pStyle w:val="BodyText"/>
      </w:pPr>
      <w:r>
        <w:t xml:space="preserve">Actual Revenue (AED)</w:t>
      </w:r>
    </w:p>
    <w:p>
      <w:pPr>
        <w:pStyle w:val="BodyText"/>
      </w:pPr>
      <w:r>
        <w:t xml:space="preserve">Variance</w:t>
      </w:r>
    </w:p>
    <w:p>
      <w:pPr>
        <w:pStyle w:val="BodyText"/>
      </w:pPr>
      <w:r>
        <w:t xml:space="preserve">Variance %</w:t>
      </w:r>
    </w:p>
    <w:p>
      <w:pPr>
        <w:pStyle w:val="BodyText"/>
      </w:pPr>
      <w:r>
        <w:t xml:space="preserve">Total Sales Dubai</w:t>
      </w:r>
    </w:p>
    <w:p>
      <w:pPr>
        <w:pStyle w:val="BodyText"/>
      </w:pPr>
      <w:r>
        <w:t xml:space="preserve">13,750,000</w:t>
      </w:r>
    </w:p>
    <w:p>
      <w:pPr>
        <w:pStyle w:val="BodyText"/>
      </w:pPr>
      <w:r>
        <w:t xml:space="preserve">14,852,347</w:t>
      </w:r>
    </w:p>
    <w:p>
      <w:pPr>
        <w:pStyle w:val="BodyText"/>
      </w:pPr>
      <w:r>
        <w:t xml:space="preserve">+1,102,347</w:t>
      </w:r>
    </w:p>
    <w:p>
      <w:pPr>
        <w:pStyle w:val="BodyText"/>
      </w:pPr>
      <w:r>
        <w:t xml:space="preserve">+8.02%</w:t>
      </w:r>
    </w:p>
    <w:p>
      <w:pPr>
        <w:pStyle w:val="BodyText"/>
      </w:pPr>
      <w:r>
        <w:t xml:space="preserve">VAT-Compliant Sales</w:t>
      </w:r>
    </w:p>
    <w:p>
      <w:pPr>
        <w:pStyle w:val="BodyText"/>
      </w:pPr>
      <w:r>
        <w:t xml:space="preserve">99.6% of Total</w:t>
      </w:r>
    </w:p>
    <w:p>
      <w:pPr>
        <w:pStyle w:val="BodyText"/>
      </w:pPr>
      <w:r>
        <w:t xml:space="preserve">100% of Total (14,852,347)</w:t>
      </w:r>
    </w:p>
    <w:p>
      <w:pPr>
        <w:pStyle w:val="BodyText"/>
      </w:pPr>
      <w:r>
        <w:t xml:space="preserve">+</w:t>
      </w:r>
    </w:p>
    <w:p>
      <w:pPr>
        <w:pStyle w:val="BodyText"/>
      </w:pPr>
      <w:r>
        <w:t xml:space="preserve">0.0%</w:t>
      </w:r>
    </w:p>
    <w:p>
      <w:pPr>
        <w:pStyle w:val="BodyText"/>
      </w:pPr>
      <w:r>
        <w:t xml:space="preserve">Cash Collections</w:t>
      </w:r>
    </w:p>
    <w:p>
      <w:pPr>
        <w:pStyle w:val="BodyText"/>
      </w:pPr>
      <w:r>
        <w:t xml:space="preserve">AED 12.3M</w:t>
      </w:r>
    </w:p>
    <w:p>
      <w:pPr>
        <w:pStyle w:val="BodyText"/>
      </w:pPr>
      <w:r>
        <w:t xml:space="preserve">AED 13.98M</w:t>
      </w:r>
    </w:p>
    <w:p>
      <w:pPr>
        <w:pStyle w:val="BodyText"/>
      </w:pPr>
      <w:r>
        <w:t xml:space="preserve">The Accountant team achieved perfect VAT compliance on all transactions, a critical requirement for businesses operating within the United Arab Emirates Dubai regulatory framework. This compliance was verified through our integrated accounting software (QuickBooks Enterprise) synchronized with UAE FTA's e-invoicing system.</w:t>
      </w:r>
    </w:p>
    <w:bookmarkEnd w:id="22"/>
    <w:bookmarkEnd w:id="23"/>
    <w:bookmarkStart w:id="27" w:name="Xc547eb1bd409a192245390b83490981f857eb2c"/>
    <w:p>
      <w:pPr>
        <w:pStyle w:val="Heading2"/>
      </w:pPr>
      <w:r>
        <w:t xml:space="preserve">III. Financial Insights &amp; Accountant-Driven Analysis</w:t>
      </w:r>
    </w:p>
    <w:bookmarkStart w:id="24" w:name="a.-revenue-quality-assessment"/>
    <w:p>
      <w:pPr>
        <w:pStyle w:val="Heading3"/>
      </w:pPr>
      <w:r>
        <w:t xml:space="preserve">A. Revenue Quality Assessment</w:t>
      </w:r>
    </w:p>
    <w:p>
      <w:pPr>
        <w:pStyle w:val="FirstParagraph"/>
      </w:pPr>
      <w:r>
        <w:t xml:space="preserve">The Accountant department conducted detailed receivables aging analysis, revealing that 94% of sales were collected within 30 days – significantly better than the Dubai market average of 45 days. This exceptional cash conversion cycle (CCC) directly resulted from our Accountant team's proactive credit management protocols implemented per UAE Central Bank guidelines for commercial entities.</w:t>
      </w:r>
    </w:p>
    <w:bookmarkEnd w:id="24"/>
    <w:bookmarkStart w:id="25" w:name="b.-profit-margin-analysis"/>
    <w:p>
      <w:pPr>
        <w:pStyle w:val="Heading3"/>
      </w:pPr>
      <w:r>
        <w:t xml:space="preserve">B. Profit Margin Analysis</w:t>
      </w:r>
    </w:p>
    <w:p>
      <w:pPr>
        <w:pStyle w:val="FirstParagraph"/>
      </w:pPr>
      <w:r>
        <w:t xml:space="preserve">Despite increased competition in Dubai's retail sector, gross profit margins improved to 58.7% (from 56.2% in Q2), primarily due to:</w:t>
      </w:r>
    </w:p>
    <w:p>
      <w:pPr>
        <w:numPr>
          <w:ilvl w:val="0"/>
          <w:numId w:val="1002"/>
        </w:numPr>
        <w:pStyle w:val="Compact"/>
      </w:pPr>
      <w:r>
        <w:t xml:space="preserve">Strategic product mix adjustments recommended by Accountant-led analytics</w:t>
      </w:r>
    </w:p>
    <w:p>
      <w:pPr>
        <w:numPr>
          <w:ilvl w:val="0"/>
          <w:numId w:val="1002"/>
        </w:numPr>
        <w:pStyle w:val="Compact"/>
      </w:pPr>
      <w:r>
        <w:t xml:space="preserve">Reduced wastage costs identified through our Dubai warehouse KPI tracking system</w:t>
      </w:r>
    </w:p>
    <w:p>
      <w:pPr>
        <w:numPr>
          <w:ilvl w:val="0"/>
          <w:numId w:val="1002"/>
        </w:numPr>
        <w:pStyle w:val="Compact"/>
      </w:pPr>
      <w:r>
        <w:t xml:space="preserve">Optimized pricing structure compliant with UAE Competition Law</w:t>
      </w:r>
    </w:p>
    <w:bookmarkEnd w:id="25"/>
    <w:bookmarkStart w:id="26" w:name="c.-vat-compliance-reporting-uae-specific"/>
    <w:p>
      <w:pPr>
        <w:pStyle w:val="Heading3"/>
      </w:pPr>
      <w:r>
        <w:t xml:space="preserve">C. VAT Compliance &amp; Reporting (UAE Specific)</w:t>
      </w:r>
    </w:p>
    <w:p>
      <w:pPr>
        <w:pStyle w:val="FirstParagraph"/>
      </w:pPr>
      <w:r>
        <w:t xml:space="preserve">This quarter, the Accountant team processed 87,421 tax invoices under UAE's 5% VAT regime, totaling AED 742,617 in VAT collected – all filed accurately through FTA's e-Services portal within mandated deadlines. Key achievements include:</w:t>
      </w:r>
    </w:p>
    <w:p>
      <w:pPr>
        <w:numPr>
          <w:ilvl w:val="0"/>
          <w:numId w:val="1003"/>
        </w:numPr>
        <w:pStyle w:val="Compact"/>
      </w:pPr>
      <w:r>
        <w:t xml:space="preserve">Implementation of new FTA requirements for B2B electronic invoicing (effective July 2023)</w:t>
      </w:r>
    </w:p>
    <w:p>
      <w:pPr>
        <w:numPr>
          <w:ilvl w:val="0"/>
          <w:numId w:val="1003"/>
        </w:numPr>
        <w:pStyle w:val="Compact"/>
      </w:pPr>
      <w:r>
        <w:t xml:space="preserve">Training Dubai-based sales staff on UAE VAT documentation protocols</w:t>
      </w:r>
    </w:p>
    <w:p>
      <w:pPr>
        <w:numPr>
          <w:ilvl w:val="0"/>
          <w:numId w:val="1003"/>
        </w:numPr>
        <w:pStyle w:val="Compact"/>
      </w:pPr>
      <w:r>
        <w:t xml:space="preserve">Zero non-compliance penalties from UAE Tax Authorities during Q3</w:t>
      </w:r>
    </w:p>
    <w:bookmarkEnd w:id="26"/>
    <w:bookmarkEnd w:id="27"/>
    <w:bookmarkStart w:id="28" w:name="Xb171d2385ec0fed01e286484ac598d0de546ae9"/>
    <w:p>
      <w:pPr>
        <w:pStyle w:val="Heading2"/>
      </w:pPr>
      <w:r>
        <w:t xml:space="preserve">IV. Challenges &amp; Accountant-Specific Mitigation in Dubai Context</w:t>
      </w:r>
    </w:p>
    <w:p>
      <w:pPr>
        <w:pStyle w:val="FirstParagraph"/>
      </w:pPr>
      <w:r>
        <w:rPr>
          <w:bCs/>
          <w:b/>
        </w:rPr>
        <w:t xml:space="preserve">Challenge 1: Currency Fluctuation Impact (AED vs. USD)</w:t>
      </w:r>
    </w:p>
    <w:p>
      <w:pPr>
        <w:pStyle w:val="BodyText"/>
      </w:pPr>
      <w:r>
        <w:t xml:space="preserve">Dubai's import-dependent businesses face exchange volatility. The Accountant department implemented real-time forex hedging for all UAE-bound shipments, reducing currency risk by 32% compared to Q2.</w:t>
      </w:r>
    </w:p>
    <w:p>
      <w:pPr>
        <w:pStyle w:val="BodyText"/>
      </w:pPr>
      <w:r>
        <w:rPr>
          <w:bCs/>
          <w:b/>
        </w:rPr>
        <w:t xml:space="preserve">Challenge 2: Dubai Free Zone Compliance Complexity</w:t>
      </w:r>
    </w:p>
    <w:p>
      <w:pPr>
        <w:pStyle w:val="BodyText"/>
      </w:pPr>
      <w:r>
        <w:t xml:space="preserve">Managing sales across multiple Dubai free zones (DIFC, DMCC, JAFZA) required specialized accounting treatments. The Accountant team developed a centralized reporting framework that eliminated duplicate VAT entries and ensured compliance with each zone's specific regulations.</w:t>
      </w:r>
    </w:p>
    <w:bookmarkEnd w:id="28"/>
    <w:bookmarkStart w:id="29" w:name="Xe517d01b8e807a9d5c1caec5bd091b064a656a1"/>
    <w:p>
      <w:pPr>
        <w:pStyle w:val="Heading2"/>
      </w:pPr>
      <w:r>
        <w:t xml:space="preserve">V. Recommendations for Enhanced Sales Reporting (Accountant Perspective)</w:t>
      </w:r>
    </w:p>
    <w:p>
      <w:pPr>
        <w:numPr>
          <w:ilvl w:val="0"/>
          <w:numId w:val="1004"/>
        </w:numPr>
        <w:pStyle w:val="Compact"/>
      </w:pPr>
      <w:r>
        <w:rPr>
          <w:bCs/>
          <w:b/>
        </w:rPr>
        <w:t xml:space="preserve">Integrate Dubai-Compliant CRM System:</w:t>
      </w:r>
      <w:r>
        <w:t xml:space="preserve"> </w:t>
      </w:r>
      <w:r>
        <w:t xml:space="preserve">Implement Salesforce with UAE tax module to auto-generate FTA-compliant sales reports, reducing manual errors by 70%.</w:t>
      </w:r>
    </w:p>
    <w:bookmarkEnd w:id="29"/>
    <w:bookmarkStart w:id="31" w:name="vi.-conclusion"/>
    <w:p>
      <w:pPr>
        <w:pStyle w:val="Heading2"/>
      </w:pPr>
      <w:r>
        <w:t xml:space="preserve">VI. Conclusion</w:t>
      </w:r>
    </w:p>
    <w:p>
      <w:pPr>
        <w:pStyle w:val="FirstParagraph"/>
      </w:pPr>
      <w:r>
        <w:t xml:space="preserve">This Sales Report demonstrates how the Accountant function in United Arab Emirates Dubai transcends traditional bookkeeping to become a strategic business partner. By ensuring rigorous compliance with UAE regulations – from FTA VAT requirements to Dubai free zone ordinances – our Accountant team has directly contributed to Q3's 12.7% revenue growth while maintaining flawless financial governance.</w:t>
      </w:r>
    </w:p>
    <w:p>
      <w:pPr>
        <w:pStyle w:val="BodyText"/>
      </w:pPr>
      <w:r>
        <w:t xml:space="preserve">The success of sales operations in Dubai hinges on seamless integration between commercial teams and the accounting department. Our Accountant team's quarterly reporting framework (now fully aligned with UAE Central Bank standards) has become the cornerstone for decision-making across all Dubai business units. As we move into Q4, the Accountant department will implement advanced analytics to forecast UAE market trends, ensuring our sales strategy remains competitive in Dubai's dynamic economic landscape while maintaining full adherence to United Arab Emirates tax and commercial regulations.</w:t>
      </w:r>
    </w:p>
    <w:p>
      <w:pPr>
        <w:pStyle w:val="BodyText"/>
      </w:pPr>
      <w:r>
        <w:rPr>
          <w:bCs/>
          <w:b/>
        </w:rPr>
        <w:t xml:space="preserve">Prepared by:</w:t>
      </w:r>
      <w:r>
        <w:t xml:space="preserve"> </w:t>
      </w:r>
      <w:r>
        <w:t xml:space="preserve">Ahmed Hassan, Senior Accountant (UAE Certified)</w:t>
      </w:r>
      <w:r>
        <w:t xml:space="preserve"> </w:t>
      </w:r>
      <w:r>
        <w:rPr>
          <w:bCs/>
          <w:b/>
        </w:rPr>
        <w:t xml:space="preserve">Contact:</w:t>
      </w:r>
      <w:r>
        <w:t xml:space="preserve"> </w:t>
      </w:r>
      <w:r>
        <w:t xml:space="preserve">ahmed.hassan@financeuae.com | +971 4 XXX XXXX</w:t>
      </w:r>
    </w:p>
    <w:p>
      <w:pPr>
        <w:pStyle w:val="BodyText"/>
      </w:pPr>
      <w:r>
        <w:rPr>
          <w:iCs/>
          <w:i/>
        </w:rPr>
        <w:t xml:space="preserve">This document complies with UAE Federal Law No. (5) of 2016 on Commercial Companies and FTA Guidelines for Financial Reporting in the United Arab Emirates. All figures are inclusive of 5% VAT as mandated under UAE tax law.</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Accountant Dubai UAE</dc:title>
  <dc:creator/>
  <dc:language>en</dc:language>
  <cp:keywords/>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file>