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f4f1555c4339fa9cdedbde3ea1b03775a797239"/>
    <w:p>
      <w:pPr>
        <w:pStyle w:val="Heading1"/>
      </w:pPr>
      <w:r>
        <w:t xml:space="preserve">Sales Report for Accountant Services in United Kingdom Birmingham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Birmingham Accounting Partnership |</w:t>
      </w:r>
      <w:r>
        <w:t xml:space="preserve"> </w:t>
      </w:r>
      <w:r>
        <w:rPr>
          <w:bCs/>
          <w:b/>
        </w:rPr>
        <w:t xml:space="preserve">Report Period:</w:t>
      </w:r>
      <w:r>
        <w:t xml:space="preserve"> </w:t>
      </w:r>
      <w:r>
        <w:t xml:space="preserve">Q3 2023</w:t>
      </w:r>
    </w:p>
    <w:bookmarkStart w:id="20" w:name="X5fb6d011a6bb2973c4219721bf79a1eabb019ba"/>
    <w:p>
      <w:pPr>
        <w:pStyle w:val="Heading2"/>
      </w:pPr>
      <w:r>
        <w:t xml:space="preserve">Executive Summary</w:t>
      </w:r>
      <w:r>
        <w:t xml:space="preserve"> </w:t>
      </w:r>
      <w:r>
        <w:t xml:space="preserve">This comprehensive Sales Report details the performance of our accounting services across the United Kingdom Birmingham market during Q3 2023. As a leading Accountant firm operating within Birmingham's dynamic business ecosystem, we achieved a 14.7% year-on-year increase in service revenue, driven by strategic expansion in key sectors including manufacturing, retail, and SME consultancy. The report underscores how our tailored Accountant solutions have strengthened our position as the preferred financial partner for businesses navigating post-Brexit compliance and cost-optimization challenges across United Kingdom Birmingham.</w:t>
      </w:r>
    </w:p>
    <w:bookmarkEnd w:id="20"/>
    <w:bookmarkStart w:id="21" w:name="sales-performance-overview"/>
    <w:p>
      <w:pPr>
        <w:pStyle w:val="Heading2"/>
      </w:pPr>
      <w:r>
        <w:t xml:space="preserve">Sales Performance Overview</w:t>
      </w:r>
    </w:p>
    <w:p>
      <w:pPr>
        <w:pStyle w:val="FirstParagraph"/>
      </w:pPr>
      <w:r>
        <w:t xml:space="preserve">Our Q3 2023 Sales Report reveals significant growth in both client acquisition and service revenue. Total revenue reached £874,500, surpassing the target of £810,000 by 7.9%. This growth stems from three core drivers:</w:t>
      </w:r>
    </w:p>
    <w:p>
      <w:pPr>
        <w:numPr>
          <w:ilvl w:val="0"/>
          <w:numId w:val="1001"/>
        </w:numPr>
        <w:pStyle w:val="Compact"/>
      </w:pPr>
      <w:r>
        <w:rPr>
          <w:bCs/>
          <w:b/>
        </w:rPr>
        <w:t xml:space="preserve">Increased Client Onboarding:</w:t>
      </w:r>
      <w:r>
        <w:t xml:space="preserve"> </w:t>
      </w:r>
      <w:r>
        <w:t xml:space="preserve">32 new SME clients acquired (vs. 24 in Q2), representing a 33% increase in Birmingham-based business acquisitions.</w:t>
      </w:r>
    </w:p>
    <w:p>
      <w:pPr>
        <w:numPr>
          <w:ilvl w:val="0"/>
          <w:numId w:val="1001"/>
        </w:numPr>
        <w:pStyle w:val="Compact"/>
      </w:pPr>
      <w:r>
        <w:rPr>
          <w:bCs/>
          <w:b/>
        </w:rPr>
        <w:t xml:space="preserve">Service Upselling:</w:t>
      </w:r>
      <w:r>
        <w:t xml:space="preserve"> </w:t>
      </w:r>
      <w:r>
        <w:t xml:space="preserve">Premium tax advisory packages secured for 18 existing clients, contributing £156,000 to revenue.</w:t>
      </w:r>
    </w:p>
    <w:bookmarkEnd w:id="21"/>
    <w:bookmarkStart w:id="24" w:name="Xf2013785734db8917c6a6607e7a56422f69af4a"/>
    <w:p>
      <w:pPr>
        <w:pStyle w:val="Heading2"/>
      </w:pPr>
      <w:r>
        <w:t xml:space="preserve">Regional Market Analysis: United Kingdom Birmingham Focus</w:t>
      </w:r>
    </w:p>
    <w:p>
      <w:pPr>
        <w:pStyle w:val="FirstParagraph"/>
      </w:pPr>
      <w:r>
        <w:t xml:space="preserve">Birmingham's unique economic landscape demands specialized Accountant expertise. As the UK's second-largest city, Birmingham presents both challenges and opportunities that our Sales Report clearly documents:</w:t>
      </w:r>
    </w:p>
    <w:bookmarkStart w:id="22" w:name="birmingham-specific-growth-drivers"/>
    <w:p>
      <w:pPr>
        <w:pStyle w:val="Heading3"/>
      </w:pPr>
      <w:r>
        <w:t xml:space="preserve">Birmingham-Specific Growth Drivers</w:t>
      </w:r>
    </w:p>
    <w:p>
      <w:pPr>
        <w:numPr>
          <w:ilvl w:val="0"/>
          <w:numId w:val="1002"/>
        </w:numPr>
        <w:pStyle w:val="Compact"/>
      </w:pPr>
      <w:r>
        <w:rPr>
          <w:bCs/>
          <w:b/>
        </w:rPr>
        <w:t xml:space="preserve">Manufacturing Sector Surge:</w:t>
      </w:r>
      <w:r>
        <w:t xml:space="preserve"> </w:t>
      </w:r>
      <w:r>
        <w:t xml:space="preserve">27% of new clients came from Birmingham's advanced manufacturing cluster (including automotive and engineering firms), requiring bespoke VAT optimization strategies for export operations.</w:t>
      </w:r>
    </w:p>
    <w:p>
      <w:pPr>
        <w:numPr>
          <w:ilvl w:val="0"/>
          <w:numId w:val="1002"/>
        </w:numPr>
        <w:pStyle w:val="Compact"/>
      </w:pPr>
      <w:r>
        <w:rPr>
          <w:bCs/>
          <w:b/>
        </w:rPr>
        <w:t xml:space="preserve">Post-Pandemic Recovery:</w:t>
      </w:r>
      <w:r>
        <w:t xml:space="preserve"> </w:t>
      </w:r>
      <w:r>
        <w:t xml:space="preserve">41% of new retail clients sought our Accountant services to navigate complex cost-restructuring post-2023 inflation spikes, particularly in Birmingham city centre commercial hubs.</w:t>
      </w:r>
    </w:p>
    <w:p>
      <w:pPr>
        <w:numPr>
          <w:ilvl w:val="0"/>
          <w:numId w:val="1002"/>
        </w:numPr>
        <w:pStyle w:val="Compact"/>
      </w:pPr>
      <w:r>
        <w:rPr>
          <w:bCs/>
          <w:b/>
        </w:rPr>
        <w:t xml:space="preserve">Regulatory Changes:</w:t>
      </w:r>
      <w:r>
        <w:t xml:space="preserve"> </w:t>
      </w:r>
      <w:r>
        <w:t xml:space="preserve">Our proactive compliance solutions for the UK's new Energy Prices Cap and HMRC digital reporting requirements secured 19 new contracts from Birmingham-based businesses.</w:t>
      </w:r>
    </w:p>
    <w:bookmarkEnd w:id="22"/>
    <w:bookmarkStart w:id="23" w:name="competitive-positioning-in-birmingham"/>
    <w:p>
      <w:pPr>
        <w:pStyle w:val="Heading3"/>
      </w:pPr>
      <w:r>
        <w:t xml:space="preserve">Competitive Positioning in Birmingham</w:t>
      </w:r>
    </w:p>
    <w:p>
      <w:pPr>
        <w:pStyle w:val="FirstParagraph"/>
      </w:pPr>
      <w:r>
        <w:t xml:space="preserve">Our Sales Report identifies a critical advantage: While competitors focus on London-centric models, our Birmingham-based Accountant team delivers localized market intelligence. For example, our tailored approach to the West Midlands Combined Authority's "Birmingham 2040" economic strategy has positioned us as the preferred Accountant for 12 major regeneration projects. This hyper-local expertise directly contributed to a 28% higher average contract value compared to national competitors in United Kingdom Birmingham.</w:t>
      </w:r>
    </w:p>
    <w:bookmarkEnd w:id="23"/>
    <w:bookmarkEnd w:id="24"/>
    <w:bookmarkStart w:id="25" w:name="service-line-performance-breakdown"/>
    <w:p>
      <w:pPr>
        <w:pStyle w:val="Heading2"/>
      </w:pPr>
      <w:r>
        <w:t xml:space="preserve">Service Line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(Q3)</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Tax Advisory (Birmingham Compliance Focus)</w:t>
            </w:r>
          </w:p>
        </w:tc>
        <w:tc>
          <w:tcPr/>
          <w:p>
            <w:pPr>
              <w:pStyle w:val="Compact"/>
              <w:jc w:val="left"/>
            </w:pPr>
            <w:r>
              <w:t xml:space="preserve">£312,000</w:t>
            </w:r>
          </w:p>
        </w:tc>
        <w:tc>
          <w:tcPr/>
          <w:p>
            <w:pPr>
              <w:pStyle w:val="Compact"/>
              <w:jc w:val="left"/>
            </w:pPr>
            <w:r>
              <w:t xml:space="preserve">35.7%</w:t>
            </w:r>
          </w:p>
        </w:tc>
        <w:tc>
          <w:tcPr/>
          <w:p>
            <w:pPr>
              <w:pStyle w:val="Compact"/>
              <w:jc w:val="left"/>
            </w:pPr>
            <w:r>
              <w:t xml:space="preserve">+22.1%</w:t>
            </w:r>
          </w:p>
        </w:tc>
      </w:tr>
      <w:tr>
        <w:tc>
          <w:tcPr/>
          <w:p>
            <w:pPr>
              <w:pStyle w:val="Compact"/>
              <w:jc w:val="left"/>
            </w:pPr>
            <w:r>
              <w:t xml:space="preserve">SME Bookkeeping &amp; Payroll</w:t>
            </w:r>
          </w:p>
        </w:tc>
        <w:tc>
          <w:tcPr/>
          <w:p>
            <w:pPr>
              <w:pStyle w:val="Compact"/>
              <w:jc w:val="left"/>
            </w:pPr>
            <w:r>
              <w:t xml:space="preserve">£248,000</w:t>
            </w:r>
          </w:p>
        </w:tc>
        <w:tc>
          <w:tcPr/>
          <w:p>
            <w:pPr>
              <w:pStyle w:val="Compact"/>
              <w:jc w:val="left"/>
            </w:pPr>
            <w:r>
              <w:t xml:space="preserve">28.3%</w:t>
            </w:r>
          </w:p>
        </w:tc>
        <w:tc>
          <w:tcPr/>
          <w:p>
            <w:pPr>
              <w:pStyle w:val="Compact"/>
              <w:jc w:val="left"/>
            </w:pPr>
            <w:r>
              <w:t xml:space="preserve">+16.4%</w:t>
            </w:r>
          </w:p>
        </w:tc>
      </w:tr>
      <w:tr>
        <w:tc>
          <w:tcPr/>
          <w:p>
            <w:pPr>
              <w:pStyle w:val="Compact"/>
              <w:jc w:val="left"/>
            </w:pPr>
            <w:r>
              <w:t xml:space="preserve">VAT &amp; HMRC Representation</w:t>
            </w:r>
          </w:p>
        </w:tc>
        <w:tc>
          <w:tcPr/>
          <w:p>
            <w:pPr>
              <w:pStyle w:val="Compact"/>
              <w:jc w:val="left"/>
            </w:pPr>
            <w:r>
              <w:t xml:space="preserve">£156,000</w:t>
            </w:r>
          </w:p>
        </w:tc>
        <w:tc>
          <w:tcPr/>
          <w:p>
            <w:pPr>
              <w:pStyle w:val="Compact"/>
              <w:jc w:val="left"/>
            </w:pPr>
            <w:r>
              <w:t xml:space="preserve">17.8%</w:t>
            </w:r>
          </w:p>
        </w:tc>
        <w:tc>
          <w:tcPr/>
          <w:p>
            <w:pPr>
              <w:pStyle w:val="Compact"/>
              <w:jc w:val="left"/>
            </w:pPr>
            <w:r>
              <w:t xml:space="preserve">+34.2%</w:t>
            </w:r>
          </w:p>
        </w:tc>
      </w:tr>
      <w:tr>
        <w:tc>
          <w:tcPr/>
          <w:p>
            <w:pPr>
              <w:pStyle w:val="Compact"/>
              <w:jc w:val="left"/>
            </w:pPr>
            <w:r>
              <w:t xml:space="preserve">Financial Strategy Consultancy</w:t>
            </w:r>
          </w:p>
        </w:tc>
        <w:tc>
          <w:tcPr/>
          <w:p>
            <w:pPr>
              <w:pStyle w:val="Compact"/>
              <w:jc w:val="left"/>
            </w:pPr>
            <w:r>
              <w:t xml:space="preserve">£158,500</w:t>
            </w:r>
          </w:p>
        </w:tc>
        <w:tc>
          <w:tcPr/>
          <w:p>
            <w:pPr>
              <w:pStyle w:val="Compact"/>
              <w:jc w:val="left"/>
            </w:pPr>
            <w:r>
              <w:t xml:space="preserve">18.2%</w:t>
            </w:r>
          </w:p>
        </w:tc>
        <w:tc>
          <w:tcPr/>
          <w:p>
            <w:pPr>
              <w:pStyle w:val="Compact"/>
              <w:jc w:val="left"/>
            </w:pPr>
            <w:r>
              <w:t xml:space="preserve">+9.3%</w:t>
            </w:r>
          </w:p>
        </w:tc>
      </w:tr>
    </w:tbl>
    <w:bookmarkEnd w:id="25"/>
    <w:bookmarkStart w:id="26" w:name="client-acquisition-retention-strategies"/>
    <w:p>
      <w:pPr>
        <w:pStyle w:val="Heading2"/>
      </w:pPr>
      <w:r>
        <w:t xml:space="preserve">Client Acquisition &amp; Retention Strategies</w:t>
      </w:r>
    </w:p>
    <w:p>
      <w:pPr>
        <w:pStyle w:val="FirstParagraph"/>
      </w:pPr>
      <w:r>
        <w:t xml:space="preserve">Our Sales Report highlights that 76% of new Birmingham clients were acquired through localized networking within United Kingdom Birmingham business ecosystems. Key initiatives included:</w:t>
      </w:r>
    </w:p>
    <w:p>
      <w:pPr>
        <w:numPr>
          <w:ilvl w:val="0"/>
          <w:numId w:val="1003"/>
        </w:numPr>
        <w:pStyle w:val="Compact"/>
      </w:pPr>
      <w:r>
        <w:rPr>
          <w:bCs/>
          <w:b/>
        </w:rPr>
        <w:t xml:space="preserve">Birmingham Chamber of Commerce Partnerships:</w:t>
      </w:r>
      <w:r>
        <w:t xml:space="preserve"> </w:t>
      </w:r>
      <w:r>
        <w:t xml:space="preserve">Exclusive workshops on "Post-Brexit Tax Efficiency" generating 14 qualified leads (78% conversion rate).</w:t>
      </w:r>
    </w:p>
    <w:p>
      <w:pPr>
        <w:numPr>
          <w:ilvl w:val="0"/>
          <w:numId w:val="1003"/>
        </w:numPr>
        <w:pStyle w:val="Compact"/>
      </w:pPr>
      <w:r>
        <w:rPr>
          <w:bCs/>
          <w:b/>
        </w:rPr>
        <w:t xml:space="preserve">SME Mentorship Program:</w:t>
      </w:r>
      <w:r>
        <w:t xml:space="preserve"> </w:t>
      </w:r>
      <w:r>
        <w:t xml:space="preserve">Free financial health checks for Birmingham city centre startups, resulting in 9 new retained clients from the Birmingham Innovation District.</w:t>
      </w:r>
    </w:p>
    <w:p>
      <w:pPr>
        <w:numPr>
          <w:ilvl w:val="0"/>
          <w:numId w:val="1003"/>
        </w:numPr>
        <w:pStyle w:val="Compact"/>
      </w:pPr>
      <w:r>
        <w:rPr>
          <w:bCs/>
          <w:b/>
        </w:rPr>
        <w:t xml:space="preserve">Client Referral Incentives:</w:t>
      </w:r>
      <w:r>
        <w:t xml:space="preserve"> </w:t>
      </w:r>
      <w:r>
        <w:t xml:space="preserve">22% of new clients came through our referral scheme, with Birmingham-based Accountant staff exceeding target by 37% in referrals.</w:t>
      </w:r>
    </w:p>
    <w:bookmarkEnd w:id="26"/>
    <w:bookmarkStart w:id="27" w:name="X1d6f1563c4f06105a565de792934a10f2b4deb0"/>
    <w:p>
      <w:pPr>
        <w:pStyle w:val="Heading2"/>
      </w:pPr>
      <w:r>
        <w:t xml:space="preserve">Challenges in United Kingdom Birmingham Market</w:t>
      </w:r>
    </w:p>
    <w:p>
      <w:pPr>
        <w:pStyle w:val="FirstParagraph"/>
      </w:pPr>
      <w:r>
        <w:t xml:space="preserve">Despite strong performance, our Sales Report identifies critical challenges specific to Birmingham:</w:t>
      </w:r>
    </w:p>
    <w:p>
      <w:pPr>
        <w:numPr>
          <w:ilvl w:val="0"/>
          <w:numId w:val="1004"/>
        </w:numPr>
        <w:pStyle w:val="Compact"/>
      </w:pPr>
      <w:r>
        <w:rPr>
          <w:bCs/>
          <w:b/>
        </w:rPr>
        <w:t xml:space="preserve">Regulatory Complexity:</w:t>
      </w:r>
      <w:r>
        <w:t xml:space="preserve"> </w:t>
      </w:r>
      <w:r>
        <w:t xml:space="preserve">HMRC's new digital submission requirements increased client onboarding time by 18%, demanding additional Accountant training investment.</w:t>
      </w:r>
    </w:p>
    <w:p>
      <w:pPr>
        <w:numPr>
          <w:ilvl w:val="0"/>
          <w:numId w:val="1004"/>
        </w:numPr>
        <w:pStyle w:val="Compact"/>
      </w:pPr>
      <w:r>
        <w:rPr>
          <w:bCs/>
          <w:b/>
        </w:rPr>
        <w:t xml:space="preserve">Local Competition:</w:t>
      </w:r>
      <w:r>
        <w:t xml:space="preserve"> </w:t>
      </w:r>
      <w:r>
        <w:t xml:space="preserve">Emerging Birmingham-based fintech firms are offering low-cost bookkeeping, threatening margin erosion in entry-level services.</w:t>
      </w:r>
    </w:p>
    <w:p>
      <w:pPr>
        <w:numPr>
          <w:ilvl w:val="0"/>
          <w:numId w:val="1004"/>
        </w:numPr>
        <w:pStyle w:val="Compact"/>
      </w:pPr>
      <w:r>
        <w:rPr>
          <w:bCs/>
          <w:b/>
        </w:rPr>
        <w:t xml:space="preserve">Economic Pressures:</w:t>
      </w:r>
      <w:r>
        <w:t xml:space="preserve"> </w:t>
      </w:r>
      <w:r>
        <w:t xml:space="preserve">31% of existing clients requested service cost reductions due to local inflation, requiring our Accountant team to develop flexible pricing models.</w:t>
      </w:r>
    </w:p>
    <w:bookmarkEnd w:id="27"/>
    <w:bookmarkStart w:id="28" w:name="Xdcc935246fdd7e105ddce732752b2c8782bed86"/>
    <w:p>
      <w:pPr>
        <w:pStyle w:val="Heading2"/>
      </w:pPr>
      <w:r>
        <w:t xml:space="preserve">Strategic Recommendations for Birmingham Growth</w:t>
      </w:r>
    </w:p>
    <w:p>
      <w:pPr>
        <w:pStyle w:val="FirstParagraph"/>
      </w:pPr>
      <w:r>
        <w:t xml:space="preserve">Based on this Sales Report analysis, we recommend three priority actions for the Accountant department to dominate United Kingdom Birmingham:</w:t>
      </w:r>
    </w:p>
    <w:p>
      <w:pPr>
        <w:numPr>
          <w:ilvl w:val="0"/>
          <w:numId w:val="1005"/>
        </w:numPr>
        <w:pStyle w:val="Compact"/>
      </w:pPr>
      <w:r>
        <w:rPr>
          <w:bCs/>
          <w:b/>
        </w:rPr>
        <w:t xml:space="preserve">Launch "Birmingham Compliance Shield" Package:</w:t>
      </w:r>
      <w:r>
        <w:t xml:space="preserve"> </w:t>
      </w:r>
      <w:r>
        <w:t xml:space="preserve">Bundle VAT, payroll and HMRC representation services with fixed monthly pricing. Estimated to capture 40% of at-risk clients seeking cost certainty.</w:t>
      </w:r>
    </w:p>
    <w:p>
      <w:pPr>
        <w:numPr>
          <w:ilvl w:val="0"/>
          <w:numId w:val="1005"/>
        </w:numPr>
        <w:pStyle w:val="Compact"/>
      </w:pPr>
      <w:r>
        <w:rPr>
          <w:bCs/>
          <w:b/>
        </w:rPr>
        <w:t xml:space="preserve">Expand Birmingham Innovation District Outreach:</w:t>
      </w:r>
      <w:r>
        <w:t xml:space="preserve"> </w:t>
      </w:r>
      <w:r>
        <w:t xml:space="preserve">Partner with Birmingham City University's business incubator to provide free financial strategy sessions for startups – targeting 50 new leads by Q1 2024.</w:t>
      </w:r>
    </w:p>
    <w:p>
      <w:pPr>
        <w:numPr>
          <w:ilvl w:val="0"/>
          <w:numId w:val="1005"/>
        </w:numPr>
        <w:pStyle w:val="Compact"/>
      </w:pPr>
      <w:r>
        <w:rPr>
          <w:bCs/>
          <w:b/>
        </w:rPr>
        <w:t xml:space="preserve">Implement AI-Powered Bookkeeping Tool:</w:t>
      </w:r>
      <w:r>
        <w:t xml:space="preserve"> </w:t>
      </w:r>
      <w:r>
        <w:t xml:space="preserve">Reduce onboarding time by 35% and improve service consistency for our core SME client base, directly addressing the competition challenge.</w:t>
      </w:r>
    </w:p>
    <w:bookmarkEnd w:id="28"/>
    <w:bookmarkStart w:id="29" w:name="conclusion"/>
    <w:p>
      <w:pPr>
        <w:pStyle w:val="Heading2"/>
      </w:pPr>
      <w:r>
        <w:t xml:space="preserve">Conclusion</w:t>
      </w:r>
    </w:p>
    <w:p>
      <w:pPr>
        <w:pStyle w:val="FirstParagraph"/>
      </w:pPr>
      <w:r>
        <w:t xml:space="preserve">This Sales Report demonstrates that our Accountant services are exceptionally well-positioned within United Kingdom Birmingham's evolving economic environment. The 14.7% revenue growth in Q3 reflects not just market demand, but our strategic focus on delivering localized financial solutions for Birmingham businesses. As the city continues its transformation as a global business hub outside London, our commitment to Birmingham-based expertise – from navigating West Midlands' unique regulatory landscape to supporting local enterprise growth – will remain central to our success.</w:t>
      </w:r>
    </w:p>
    <w:p>
      <w:pPr>
        <w:pStyle w:val="BodyText"/>
      </w:pPr>
      <w:r>
        <w:t xml:space="preserve">"In the heart of United Kingdom Birmingham's commercial revolution, the Accountant who understands the city's rhythms isn't just a service provider – they're a strategic partner in growth." – Birmingham Accounting Partnership Leadership</w:t>
      </w:r>
    </w:p>
    <w:p>
      <w:pPr>
        <w:pStyle w:val="BodyText"/>
      </w:pPr>
      <w:r>
        <w:rPr>
          <w:bCs/>
          <w:b/>
        </w:rPr>
        <w:t xml:space="preserve">Report Prepared By:</w:t>
      </w:r>
      <w:r>
        <w:t xml:space="preserve"> </w:t>
      </w:r>
      <w:r>
        <w:t xml:space="preserve">Birmingham Sales Strategy Team | Certified Accountant (ACCA) | United Kingdom Birmingham Office</w:t>
      </w:r>
    </w:p>
    <w:p>
      <w:pPr>
        <w:pStyle w:val="BodyText"/>
      </w:pPr>
      <w:r>
        <w:t xml:space="preserve">This document complies with UK GAAP and HMRC reporting standards for professional services firms.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Accountant Services in United Kingdom Birmingham</dc:title>
  <dc:creator/>
  <dc:language>en</dc:language>
  <cp:keywords/>
  <dcterms:created xsi:type="dcterms:W3CDTF">2026-07-24T00:28:54Z</dcterms:created>
  <dcterms:modified xsi:type="dcterms:W3CDTF">2026-07-24T00:28:54Z</dcterms:modified>
</cp:coreProperties>
</file>

<file path=docProps/custom.xml><?xml version="1.0" encoding="utf-8"?>
<Properties xmlns="http://schemas.openxmlformats.org/officeDocument/2006/custom-properties" xmlns:vt="http://schemas.openxmlformats.org/officeDocument/2006/docPropsVTypes"/>
</file>