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Accountant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1db2d2296384918e7643e92bdecbf30451b7f3d"/>
    <w:p>
      <w:pPr>
        <w:pStyle w:val="Heading1"/>
      </w:pPr>
      <w:r>
        <w:t xml:space="preserve">Quarterly Sales Performance Report: Accountant Services for United Kingdom London Market</w:t>
      </w:r>
    </w:p>
    <w:p>
      <w:pPr>
        <w:pStyle w:val="FirstParagraph"/>
      </w:pPr>
      <w:r>
        <w:rPr>
          <w:bCs/>
          <w:b/>
        </w:rPr>
        <w:t xml:space="preserve">Prepared For:</w:t>
      </w:r>
      <w:r>
        <w:t xml:space="preserve"> </w:t>
      </w:r>
      <w:r>
        <w:t xml:space="preserve">Senior Management, London Accounting Division</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Report Type:</w:t>
      </w:r>
      <w:r>
        <w:t xml:space="preserve"> </w:t>
      </w:r>
      <w:r>
        <w:t xml:space="preserve">Accountant Services Sales Analysis for United Kingdom London Market</w:t>
      </w:r>
    </w:p>
    <w:bookmarkStart w:id="20" w:name="executive-summary"/>
    <w:p>
      <w:pPr>
        <w:pStyle w:val="Heading2"/>
      </w:pPr>
      <w:r>
        <w:t xml:space="preserve">Executive Summary</w:t>
      </w:r>
    </w:p>
    <w:p>
      <w:pPr>
        <w:pStyle w:val="FirstParagraph"/>
      </w:pPr>
      <w:r>
        <w:t xml:space="preserve">This Sales Report details the performance of our Accountant services within the United Kingdom London market during Q3 2023. The report confirms that our firm achieved a 15.8% year-on-year growth in service revenue, significantly outperforming both UK national averages and key London competitors. This success is directly attributable to strategic positioning as a specialist</w:t>
      </w:r>
      <w:r>
        <w:t xml:space="preserve"> </w:t>
      </w:r>
      <w:r>
        <w:rPr>
          <w:bCs/>
          <w:b/>
        </w:rPr>
        <w:t xml:space="preserve">Accountant</w:t>
      </w:r>
      <w:r>
        <w:t xml:space="preserve"> </w:t>
      </w:r>
      <w:r>
        <w:t xml:space="preserve">provider tailored to London's complex business ecosystem, aligning with the latest United Kingdom tax regulations and financial compliance frameworks. Our sales team exceeded quarterly targets by 12.3%, securing 47 new clients across diverse sectors including finance, retail, and professional services within the Greater London area.</w:t>
      </w:r>
    </w:p>
    <w:bookmarkEnd w:id="20"/>
    <w:bookmarkStart w:id="21" w:name="X4d48293f660efab9f4f6e1cab00836ba85857a8"/>
    <w:p>
      <w:pPr>
        <w:pStyle w:val="Heading2"/>
      </w:pPr>
      <w:r>
        <w:t xml:space="preserve">Key Performance Metrics: United Kingdom London Focus</w:t>
      </w:r>
    </w:p>
    <w:p>
      <w:pPr>
        <w:pStyle w:val="FirstParagraph"/>
      </w:pPr>
      <w:r>
        <w:t xml:space="preserve">Performance Indicator</w:t>
      </w:r>
    </w:p>
    <w:p>
      <w:pPr>
        <w:pStyle w:val="BodyText"/>
      </w:pPr>
      <w:r>
        <w:t xml:space="preserve">Q3 2023 (London)</w:t>
      </w:r>
    </w:p>
    <w:p>
      <w:pPr>
        <w:pStyle w:val="BodyText"/>
      </w:pPr>
      <w:r>
        <w:t xml:space="preserve">Q3 2022 (London)</w:t>
      </w:r>
    </w:p>
    <w:p>
      <w:pPr>
        <w:pStyle w:val="BodyText"/>
      </w:pPr>
      <w:r>
        <w:t xml:space="preserve">% Change</w:t>
      </w:r>
    </w:p>
    <w:p>
      <w:pPr>
        <w:pStyle w:val="BodyText"/>
      </w:pPr>
      <w:r>
        <w:t xml:space="preserve">UK National Avg. (Q3)</w:t>
      </w:r>
    </w:p>
    <w:p>
      <w:pPr>
        <w:pStyle w:val="BodyText"/>
      </w:pPr>
      <w:r>
        <w:t xml:space="preserve">Total Revenue Generated</w:t>
      </w:r>
    </w:p>
    <w:p>
      <w:pPr>
        <w:pStyle w:val="BodyText"/>
      </w:pPr>
      <w:r>
        <w:t xml:space="preserve">£1,845,000</w:t>
      </w:r>
    </w:p>
    <w:p>
      <w:pPr>
        <w:pStyle w:val="BodyText"/>
      </w:pPr>
      <w:r>
        <w:t xml:space="preserve">£1,594,200</w:t>
      </w:r>
    </w:p>
    <w:p>
      <w:pPr>
        <w:pStyle w:val="BodyText"/>
      </w:pPr>
      <w:r>
        <w:t xml:space="preserve">+15.8%</w:t>
      </w:r>
    </w:p>
    <w:p>
      <w:pPr>
        <w:pStyle w:val="BodyText"/>
      </w:pPr>
      <w:r>
        <w:t xml:space="preserve">+6.2%</w:t>
      </w:r>
    </w:p>
    <w:p>
      <w:pPr>
        <w:pStyle w:val="BodyText"/>
      </w:pPr>
      <w:r>
        <w:t xml:space="preserve">New Client Acquisition</w:t>
      </w:r>
    </w:p>
    <w:p>
      <w:pPr>
        <w:pStyle w:val="BodyText"/>
      </w:pPr>
      <w:r>
        <w:t xml:space="preserve">47</w:t>
      </w:r>
    </w:p>
    <w:p>
      <w:pPr>
        <w:pStyle w:val="BodyText"/>
      </w:pPr>
      <w:r>
        <w:t xml:space="preserve">39</w:t>
      </w:r>
    </w:p>
    <w:p>
      <w:pPr>
        <w:pStyle w:val="BodyText"/>
      </w:pPr>
      <w:r>
        <w:t xml:space="preserve">+20.5%</w:t>
      </w:r>
    </w:p>
    <w:p>
      <w:pPr>
        <w:pStyle w:val="BodyText"/>
      </w:pPr>
      <w:r>
        <w:t xml:space="preserve">+8.1%</w:t>
      </w:r>
    </w:p>
    <w:p>
      <w:pPr>
        <w:pStyle w:val="BodyText"/>
      </w:pPr>
      <w:r>
        <w:t xml:space="preserve">London Market Share (Accountant Services)</w:t>
      </w:r>
    </w:p>
    <w:bookmarkEnd w:id="21"/>
    <w:bookmarkStart w:id="22" w:name="london-specific-sales-analysis"/>
    <w:p>
      <w:pPr>
        <w:pStyle w:val="Heading2"/>
      </w:pPr>
      <w:r>
        <w:t xml:space="preserve">London-Specific Sales Analysis</w:t>
      </w:r>
    </w:p>
    <w:p>
      <w:pPr>
        <w:pStyle w:val="FirstParagraph"/>
      </w:pPr>
      <w:r>
        <w:t xml:space="preserve">The success in the United Kingdom London market is underpinned by three critical factors directly linked to local business dynamics:</w:t>
      </w:r>
    </w:p>
    <w:p>
      <w:pPr>
        <w:numPr>
          <w:ilvl w:val="0"/>
          <w:numId w:val="1001"/>
        </w:numPr>
        <w:pStyle w:val="Compact"/>
      </w:pPr>
      <w:r>
        <w:rPr>
          <w:bCs/>
          <w:b/>
        </w:rPr>
        <w:t xml:space="preserve">Compliance Expertise for London Businesses:</w:t>
      </w:r>
      <w:r>
        <w:t xml:space="preserve"> </w:t>
      </w:r>
      <w:r>
        <w:t xml:space="preserve">Our Accountant team demonstrated exceptional proficiency in implementing HMRC's Making Tax Digital (MTD) requirements and navigating post-Brexit financial regulations. 82% of new London clients cited our MTD-compliant service packages as the primary decision factor, particularly relevant for firms operating across the UK's largest business hub.</w:t>
      </w:r>
    </w:p>
    <w:p>
      <w:pPr>
        <w:numPr>
          <w:ilvl w:val="0"/>
          <w:numId w:val="1001"/>
        </w:numPr>
        <w:pStyle w:val="Compact"/>
      </w:pPr>
      <w:r>
        <w:rPr>
          <w:bCs/>
          <w:b/>
        </w:rPr>
        <w:t xml:space="preserve">Hyper-Local Service Offerings:</w:t>
      </w:r>
      <w:r>
        <w:t xml:space="preserve"> </w:t>
      </w:r>
      <w:r>
        <w:t xml:space="preserve">We developed targeted packages for London-specific challenges including City of London Corporation compliance, Westminster-based professional services tax structures, and Canary Wharf financial sector reporting standards. This localized approach directly addressed unique pain points not covered by national accounting firms.</w:t>
      </w:r>
    </w:p>
    <w:p>
      <w:pPr>
        <w:numPr>
          <w:ilvl w:val="0"/>
          <w:numId w:val="1001"/>
        </w:numPr>
        <w:pStyle w:val="Compact"/>
      </w:pPr>
      <w:r>
        <w:rPr>
          <w:bCs/>
          <w:b/>
        </w:rPr>
        <w:t xml:space="preserve">Client Retention in Competitive Market:</w:t>
      </w:r>
      <w:r>
        <w:t xml:space="preserve"> </w:t>
      </w:r>
      <w:r>
        <w:t xml:space="preserve">With a 92% client retention rate in London (vs. UK average of 84%), our Accountant services proved indispensable for businesses requiring ongoing adaptation to London's evolving regulatory landscape, including new business rates and environmental levies.</w:t>
      </w:r>
    </w:p>
    <w:bookmarkEnd w:id="22"/>
    <w:bookmarkStart w:id="23" w:name="regional-sales-performance-breakdown"/>
    <w:p>
      <w:pPr>
        <w:pStyle w:val="Heading2"/>
      </w:pPr>
      <w:r>
        <w:t xml:space="preserve">Regional Sales Performance Breakdown</w:t>
      </w:r>
    </w:p>
    <w:p>
      <w:pPr>
        <w:pStyle w:val="FirstParagraph"/>
      </w:pPr>
      <w:r>
        <w:rPr>
          <w:bCs/>
          <w:b/>
        </w:rPr>
        <w:t xml:space="preserve">Westminster &amp; City of London (Financial District):</w:t>
      </w:r>
      <w:r>
        <w:t xml:space="preserve"> </w:t>
      </w:r>
      <w:r>
        <w:t xml:space="preserve">Generated £789,000 in revenue (+19.3% YoY), driven by 18 new corporate clients. Key focus: complex cross-border tax planning for international firms headquartered in central London.</w:t>
      </w:r>
    </w:p>
    <w:p>
      <w:pPr>
        <w:pStyle w:val="BodyText"/>
      </w:pPr>
      <w:r>
        <w:rPr>
          <w:bCs/>
          <w:b/>
        </w:rPr>
        <w:t xml:space="preserve">East London (Commercial Hubs):</w:t>
      </w:r>
      <w:r>
        <w:t xml:space="preserve"> </w:t>
      </w:r>
      <w:r>
        <w:t xml:space="preserve">Achieved £426,000 (+13.7% YoY) through 15 new retail and e-commerce clients. Our Accountant services specifically addressed VAT recovery complexities for businesses using London's extensive port infrastructure.</w:t>
      </w:r>
    </w:p>
    <w:p>
      <w:pPr>
        <w:pStyle w:val="BodyText"/>
      </w:pPr>
      <w:r>
        <w:rPr>
          <w:bCs/>
          <w:b/>
        </w:rPr>
        <w:t xml:space="preserve">Southwark &amp; Canary Wharf:</w:t>
      </w:r>
      <w:r>
        <w:t xml:space="preserve"> </w:t>
      </w:r>
      <w:r>
        <w:t xml:space="preserve">Secured £382,000 (+17.1% YoY) with 14 new professional services clients. Our Accountant team delivered specialized solutions for legal firms and consultancy businesses navigating London's high business rates and sector-specific compliance.</w:t>
      </w:r>
    </w:p>
    <w:p>
      <w:pPr>
        <w:pStyle w:val="BodyText"/>
      </w:pPr>
      <w:r>
        <w:t xml:space="preserve">The overall London sales performance significantly outpaced our national average of +6.2%, demonstrating the strategic advantage of location-specific expertise within the United Kingdom market.</w:t>
      </w:r>
    </w:p>
    <w:bookmarkEnd w:id="23"/>
    <w:bookmarkStart w:id="24" w:name="market-challenges-strategic-responses"/>
    <w:p>
      <w:pPr>
        <w:pStyle w:val="Heading2"/>
      </w:pPr>
      <w:r>
        <w:t xml:space="preserve">Market Challenges &amp; Strategic Responses</w:t>
      </w:r>
    </w:p>
    <w:p>
      <w:pPr>
        <w:pStyle w:val="FirstParagraph"/>
      </w:pPr>
      <w:r>
        <w:t xml:space="preserve">The United Kingdom London market presented specific challenges that required tailored Accountant service adaptations:</w:t>
      </w:r>
    </w:p>
    <w:p>
      <w:pPr>
        <w:numPr>
          <w:ilvl w:val="0"/>
          <w:numId w:val="1002"/>
        </w:numPr>
        <w:pStyle w:val="Compact"/>
      </w:pPr>
      <w:r>
        <w:rPr>
          <w:bCs/>
          <w:b/>
        </w:rPr>
        <w:t xml:space="preserve">Post-Pandemic Business Recovery:</w:t>
      </w:r>
      <w:r>
        <w:t xml:space="preserve"> </w:t>
      </w:r>
      <w:r>
        <w:t xml:space="preserve">Many London SMEs required complex restructuring support. Our Accountant team developed "London Resilience Packages" combining debt restructuring, cash flow forecasting, and grant application assistance (including UK government recovery funds), resulting in 32% of new clients signing multi-year contracts.</w:t>
      </w:r>
    </w:p>
    <w:p>
      <w:pPr>
        <w:numPr>
          <w:ilvl w:val="0"/>
          <w:numId w:val="1002"/>
        </w:numPr>
        <w:pStyle w:val="Compact"/>
      </w:pPr>
      <w:r>
        <w:rPr>
          <w:bCs/>
          <w:b/>
        </w:rPr>
        <w:t xml:space="preserve">Competition from National Firms:</w:t>
      </w:r>
      <w:r>
        <w:t xml:space="preserve"> </w:t>
      </w:r>
      <w:r>
        <w:t xml:space="preserve">We countered national firms' broad approach with deep London expertise. For example, our Accountant services included localized knowledge of borough-specific business rates (e.g., Westminster's higher commercial rates) and access to London chamber of commerce networks – features absent in generic UK offerings.</w:t>
      </w:r>
    </w:p>
    <w:p>
      <w:pPr>
        <w:numPr>
          <w:ilvl w:val="0"/>
          <w:numId w:val="1002"/>
        </w:numPr>
        <w:pStyle w:val="Compact"/>
      </w:pPr>
      <w:r>
        <w:rPr>
          <w:bCs/>
          <w:b/>
        </w:rPr>
        <w:t xml:space="preserve">HMRC Compliance Pressure:</w:t>
      </w:r>
      <w:r>
        <w:t xml:space="preserve"> </w:t>
      </w:r>
      <w:r>
        <w:t xml:space="preserve">With increased HMRC scrutiny on London-based businesses, our Accountant team implemented proactive quarterly compliance checks. This reduced client penalties by 41% quarter-on-quarter and became a key sales differentiator.</w:t>
      </w:r>
    </w:p>
    <w:bookmarkEnd w:id="24"/>
    <w:bookmarkStart w:id="25" w:name="recommendations-for-q4-2023-beyond"/>
    <w:p>
      <w:pPr>
        <w:pStyle w:val="Heading2"/>
      </w:pPr>
      <w:r>
        <w:t xml:space="preserve">Recommendations for Q4 2023 &amp; Beyond</w:t>
      </w:r>
    </w:p>
    <w:p>
      <w:pPr>
        <w:numPr>
          <w:ilvl w:val="0"/>
          <w:numId w:val="1003"/>
        </w:numPr>
        <w:pStyle w:val="Compact"/>
      </w:pPr>
      <w:r>
        <w:rPr>
          <w:bCs/>
          <w:b/>
        </w:rPr>
        <w:t xml:space="preserve">Expand London-Specific Product Lines:</w:t>
      </w:r>
      <w:r>
        <w:t xml:space="preserve"> </w:t>
      </w:r>
      <w:r>
        <w:t xml:space="preserve">Develop "London Start-Up Compliance Packages" targeting new businesses registering in the capital, addressing unique requirements like City of London licensing and Greater London Authority registrations.</w:t>
      </w:r>
    </w:p>
    <w:p>
      <w:pPr>
        <w:numPr>
          <w:ilvl w:val="0"/>
          <w:numId w:val="1003"/>
        </w:numPr>
        <w:pStyle w:val="Compact"/>
      </w:pPr>
      <w:r>
        <w:rPr>
          <w:bCs/>
          <w:b/>
        </w:rPr>
        <w:t xml:space="preserve">Strengthen Technology Integration:</w:t>
      </w:r>
      <w:r>
        <w:t xml:space="preserve"> </w:t>
      </w:r>
      <w:r>
        <w:t xml:space="preserve">Invest in a UK-London-specific financial dashboard showing real-time compliance status against HMRC deadlines and local regulations. This directly supports our Accountant service positioning as forward-looking for the United Kingdom market.</w:t>
      </w:r>
    </w:p>
    <w:p>
      <w:pPr>
        <w:numPr>
          <w:ilvl w:val="0"/>
          <w:numId w:val="1003"/>
        </w:numPr>
        <w:pStyle w:val="Compact"/>
      </w:pPr>
      <w:r>
        <w:rPr>
          <w:bCs/>
          <w:b/>
        </w:rPr>
        <w:t xml:space="preserve">Leverage London Networking Events:</w:t>
      </w:r>
      <w:r>
        <w:t xml:space="preserve"> </w:t>
      </w:r>
      <w:r>
        <w:t xml:space="preserve">Target key London business associations (e.g., London Chamber of Commerce, City UK) for Q4 client acquisition, focusing on sectors most impacted by recent UK tax changes.</w:t>
      </w:r>
    </w:p>
    <w:p>
      <w:pPr>
        <w:numPr>
          <w:ilvl w:val="0"/>
          <w:numId w:val="1003"/>
        </w:numPr>
        <w:pStyle w:val="Compact"/>
      </w:pPr>
      <w:r>
        <w:rPr>
          <w:bCs/>
          <w:b/>
        </w:rPr>
        <w:t xml:space="preserve">Expand Specialist Accountant Teams:</w:t>
      </w:r>
      <w:r>
        <w:t xml:space="preserve"> </w:t>
      </w:r>
      <w:r>
        <w:t xml:space="preserve">Recruit additional Accountant professionals with deep knowledge of specific London borough regulations (e.g., Hackney business rates, Tower Hamlets creative sector compliance) to service the growing demand in these high-growth areas.</w:t>
      </w:r>
    </w:p>
    <w:bookmarkEnd w:id="25"/>
    <w:bookmarkStart w:id="26" w:name="conclusion"/>
    <w:p>
      <w:pPr>
        <w:pStyle w:val="Heading2"/>
      </w:pPr>
      <w:r>
        <w:t xml:space="preserve">Conclusion</w:t>
      </w:r>
    </w:p>
    <w:p>
      <w:pPr>
        <w:pStyle w:val="FirstParagraph"/>
      </w:pPr>
      <w:r>
        <w:t xml:space="preserve">This Sales Report unequivocally demonstrates that our Accountant services have achieved outstanding success within the United Kingdom London market through hyper-localized expertise and strategic alignment with London's unique regulatory environment. The 15.8% revenue growth in Q3 significantly outperforms both national averages and competitive benchmarks, proving that specialized</w:t>
      </w:r>
      <w:r>
        <w:t xml:space="preserve"> </w:t>
      </w:r>
      <w:r>
        <w:rPr>
          <w:bCs/>
          <w:b/>
        </w:rPr>
        <w:t xml:space="preserve">Accountant</w:t>
      </w:r>
      <w:r>
        <w:t xml:space="preserve"> </w:t>
      </w:r>
      <w:r>
        <w:t xml:space="preserve">services tailored to the complexities of doing business in</w:t>
      </w:r>
      <w:r>
        <w:t xml:space="preserve"> </w:t>
      </w:r>
      <w:r>
        <w:rPr>
          <w:bCs/>
          <w:b/>
        </w:rPr>
        <w:t xml:space="preserve">United Kingdom London</w:t>
      </w:r>
      <w:r>
        <w:t xml:space="preserve"> </w:t>
      </w:r>
      <w:r>
        <w:t xml:space="preserve">deliver measurable commercial advantage. As the UK government continues to implement sector-specific financial regulations, our firm's deep understanding of London's business landscape positions us as the preferred Accountant partner for businesses operating within this critical economic hub. We recommend doubling down on London-focused service development to capitalize on sustained market demand and secure leadership position in this high-value segment.</w:t>
      </w:r>
    </w:p>
    <w:p>
      <w:pPr>
        <w:pStyle w:val="BodyText"/>
      </w:pPr>
      <w:r>
        <w:rPr>
          <w:bCs/>
          <w:b/>
        </w:rPr>
        <w:t xml:space="preserve">Prepared by:</w:t>
      </w:r>
      <w:r>
        <w:t xml:space="preserve"> </w:t>
      </w:r>
      <w:r>
        <w:t xml:space="preserve">Sarah Chen, Head of Business Development</w:t>
      </w:r>
      <w:r>
        <w:br/>
      </w:r>
      <w:r>
        <w:rPr>
          <w:bCs/>
          <w:b/>
        </w:rPr>
        <w:t xml:space="preserve">London Accounting Division |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Accountant Sales Performance Report | United Kingdom</dc:title>
  <dc:creator/>
  <dc:language>en</dc:language>
  <cp:keywords/>
  <dcterms:created xsi:type="dcterms:W3CDTF">2026-07-24T04:05:36Z</dcterms:created>
  <dcterms:modified xsi:type="dcterms:W3CDTF">2026-07-24T04:05:36Z</dcterms:modified>
</cp:coreProperties>
</file>

<file path=docProps/custom.xml><?xml version="1.0" encoding="utf-8"?>
<Properties xmlns="http://schemas.openxmlformats.org/officeDocument/2006/custom-properties" xmlns:vt="http://schemas.openxmlformats.org/officeDocument/2006/docPropsVTypes"/>
</file>