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Accountant</w:t>
      </w:r>
      <w:r>
        <w:t xml:space="preserve"> </w:t>
      </w:r>
      <w:r>
        <w:t xml:space="preserve">Insights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42149b70b6a1b77dbef20929e951421e9cb96d1"/>
    <w:p>
      <w:pPr>
        <w:pStyle w:val="Heading1"/>
      </w:pPr>
      <w:r>
        <w:t xml:space="preserve">Quarterly Sales Report: Comprehensive Financial Analysis for Accountant Operations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Los Angeles Regional Office</w:t>
      </w:r>
      <w:r>
        <w:br/>
      </w:r>
      <w:r>
        <w:rPr>
          <w:bCs/>
          <w:b/>
        </w:rPr>
        <w:t xml:space="preserve">Prepared By:</w:t>
      </w:r>
      <w:r>
        <w:t xml:space="preserve"> </w:t>
      </w:r>
      <w:r>
        <w:t xml:space="preserve">Accounting Department - Certified Accountant (CPA)</w:t>
      </w:r>
    </w:p>
    <w:bookmarkStart w:id="20" w:name="Xff6d4c44463ce72fe6fca0c353a2366b9e5af82"/>
    <w:p>
      <w:pPr>
        <w:pStyle w:val="Heading2"/>
      </w:pPr>
      <w:r>
        <w:t xml:space="preserve">1. Introduction: The Critical Role of the Accountant in United States Los Angeles Sales Strategy</w:t>
      </w:r>
    </w:p>
    <w:p>
      <w:pPr>
        <w:pStyle w:val="FirstParagraph"/>
      </w:pPr>
      <w:r>
        <w:t xml:space="preserve">This comprehensive Sales Report provides a detailed financial analysis of our sales performance across the United States Los Angeles market, prepared by the dedicated Accounting Department. As a leading financial steward in one of America's most dynamic economic hubs, our Accountant team plays an indispensable role in translating raw sales data into actionable business intelligence. The Los Angeles metropolitan area represents 22% of our national revenue stream, making precise financial oversight not merely important—but absolutely critical for sustained growth. This report underscores how meticulous accounting practices directly influence sales strategy execution within the competitive landscape of United States Los Angeles.</w:t>
      </w:r>
    </w:p>
    <w:bookmarkEnd w:id="20"/>
    <w:bookmarkStart w:id="21" w:name="X9212d8c3fb4e98f31ccc8495ac48ca39807e88c"/>
    <w:p>
      <w:pPr>
        <w:pStyle w:val="Heading2"/>
      </w:pPr>
      <w:r>
        <w:t xml:space="preserve">2. Quarterly Sales Performance: United States Los Angeles Market Analysis</w:t>
      </w:r>
    </w:p>
    <w:p>
      <w:pPr>
        <w:pStyle w:val="FirstParagraph"/>
      </w:pPr>
      <w:r>
        <w:t xml:space="preserve">Our Q3 2023 Sales Report reveals a strong 14.7% year-over-year growth in United States Los Angeles sales, totaling $8.7M against a $7.6M prior-year benchmark. This outperformance is particularly significant given the region's unique economic challenges and high cost of living environment.</w:t>
      </w:r>
    </w:p>
    <w:p>
      <w:pPr>
        <w:pStyle w:val="BodyText"/>
      </w:pPr>
      <w:r>
        <w:t xml:space="preserve">The Accountant team identified three key drivers behind this success:</w:t>
      </w:r>
    </w:p>
    <w:p>
      <w:pPr>
        <w:numPr>
          <w:ilvl w:val="0"/>
          <w:numId w:val="1001"/>
        </w:numPr>
        <w:pStyle w:val="Compact"/>
      </w:pPr>
      <w:r>
        <w:rPr>
          <w:bCs/>
          <w:b/>
        </w:rPr>
        <w:t xml:space="preserve">Commercial Sector Expansion:</w:t>
      </w:r>
      <w:r>
        <w:t xml:space="preserve"> </w:t>
      </w:r>
      <w:r>
        <w:t xml:space="preserve">32% revenue growth from corporate clients in downtown Los Angeles, validated through our rigorous sales tracking system</w:t>
      </w:r>
    </w:p>
    <w:p>
      <w:pPr>
        <w:numPr>
          <w:ilvl w:val="0"/>
          <w:numId w:val="1001"/>
        </w:numPr>
        <w:pStyle w:val="Compact"/>
      </w:pPr>
      <w:r>
        <w:rPr>
          <w:bCs/>
          <w:b/>
        </w:rPr>
        <w:t xml:space="preserve">Seasonal Demand Management:</w:t>
      </w:r>
      <w:r>
        <w:t xml:space="preserve"> </w:t>
      </w:r>
      <w:r>
        <w:t xml:space="preserve">Our Accountant-provided demand forecasts prevented $450K in potential inventory waste during the summer peak season</w:t>
      </w:r>
    </w:p>
    <w:p>
      <w:pPr>
        <w:pStyle w:val="FirstParagraph"/>
      </w:pPr>
      <w:r>
        <w:t xml:space="preserve">The Los Angeles market demonstrated exceptional resilience, with our sales team achieving 112% of quarterly targets—significantly outperforming the national average of 98%. This success was directly enabled by real-time financial data provided by the Accountant to sales leadership, allowing for immediate strategic pivots when we identified underperforming neighborhoods in South Central Los Angeles.</w:t>
      </w:r>
    </w:p>
    <w:bookmarkEnd w:id="21"/>
    <w:bookmarkStart w:id="22" w:name="X97543b8f52858ddac66cdb847cd9a4434c6e114"/>
    <w:p>
      <w:pPr>
        <w:pStyle w:val="Heading2"/>
      </w:pPr>
      <w:r>
        <w:t xml:space="preserve">3. Key Sales Metrics: Accounting-Driven Insights</w:t>
      </w:r>
    </w:p>
    <w:p>
      <w:pPr>
        <w:pStyle w:val="FirstParagraph"/>
      </w:pPr>
      <w:r>
        <w:t xml:space="preserve">Our Accountant has implemented a new dashboard system that transforms traditional financial reporting into live sales intelligence. This platform provides unprecedented visibility into:</w:t>
      </w:r>
    </w:p>
    <w:p>
      <w:pPr>
        <w:pStyle w:val="BodyText"/>
      </w:pPr>
      <w:r>
        <w:t xml:space="preserve">Key Metric</w:t>
      </w:r>
    </w:p>
    <w:p>
      <w:pPr>
        <w:pStyle w:val="BodyText"/>
      </w:pPr>
      <w:r>
        <w:t xml:space="preserve">This Quarter</w:t>
      </w:r>
    </w:p>
    <w:p>
      <w:pPr>
        <w:pStyle w:val="BodyText"/>
      </w:pPr>
      <w:r>
        <w:t xml:space="preserve">Prior Year</w:t>
      </w:r>
    </w:p>
    <w:p>
      <w:pPr>
        <w:pStyle w:val="BodyText"/>
      </w:pPr>
      <w:r>
        <w:t xml:space="preserve">Change</w:t>
      </w:r>
    </w:p>
    <w:p>
      <w:pPr>
        <w:pStyle w:val="BodyText"/>
      </w:pPr>
      <w:r>
        <w:t xml:space="preserve">Average Transaction Value (Los Angeles)</w:t>
      </w:r>
    </w:p>
    <w:p>
      <w:pPr>
        <w:pStyle w:val="BodyText"/>
      </w:pPr>
      <w:r>
        <w:t xml:space="preserve">$327.50</w:t>
      </w:r>
    </w:p>
    <w:p>
      <w:pPr>
        <w:pStyle w:val="BodyText"/>
      </w:pPr>
      <w:r>
        <w:t xml:space="preserve">$298.20</w:t>
      </w:r>
    </w:p>
    <w:p>
      <w:pPr>
        <w:pStyle w:val="BodyText"/>
      </w:pPr>
      <w:r>
        <w:t xml:space="preserve">+9.8%</w:t>
      </w:r>
    </w:p>
    <w:p>
      <w:pPr>
        <w:pStyle w:val="BodyText"/>
      </w:pPr>
      <w:r>
        <w:t xml:space="preserve">Customer Retention Rate (LA)</w:t>
      </w:r>
    </w:p>
    <w:p>
      <w:pPr>
        <w:pStyle w:val="BodyText"/>
      </w:pPr>
      <w:r>
        <w:t xml:space="preserve">76.4%</w:t>
      </w:r>
    </w:p>
    <w:p>
      <w:pPr>
        <w:pStyle w:val="BodyText"/>
      </w:pPr>
      <w:r>
        <w:t xml:space="preserve">71.2%</w:t>
      </w:r>
    </w:p>
    <w:p>
      <w:pPr>
        <w:pStyle w:val="BodyText"/>
      </w:pPr>
      <w:r>
        <w:t xml:space="preserve">+5.2 pts</w:t>
      </w:r>
    </w:p>
    <w:p>
      <w:pPr>
        <w:pStyle w:val="BodyText"/>
      </w:pPr>
      <w:r>
        <w:t xml:space="preserve">Sales Tax Compliance Accuracy</w:t>
      </w:r>
    </w:p>
    <w:p>
      <w:pPr>
        <w:pStyle w:val="BodyText"/>
      </w:pPr>
      <w:r>
        <w:t xml:space="preserve">99.87%</w:t>
      </w:r>
    </w:p>
    <w:p>
      <w:pPr>
        <w:pStyle w:val="BodyText"/>
      </w:pPr>
      <w:r>
        <w:t xml:space="preserve">98.65%</w:t>
      </w:r>
    </w:p>
    <w:p>
      <w:pPr>
        <w:pStyle w:val="BodyText"/>
      </w:pPr>
      <w:r>
        <w:t xml:space="preserve">+1.22 pts</w:t>
      </w:r>
    </w:p>
    <w:p>
      <w:pPr>
        <w:pStyle w:val="BodyText"/>
      </w:pPr>
      <w:r>
        <w:t xml:space="preserve">The 99.87% sales tax compliance accuracy in United States Los Angeles—verified by our Accountant team—is a direct result of our new automated tax calculation system, which has eliminated $183K in potential audit penalties since implementation. This precision is especially vital for an accountant operating within California's complex sales tax regulations (requiring 54 distinct jurisdictional rates).</w:t>
      </w:r>
    </w:p>
    <w:bookmarkEnd w:id="22"/>
    <w:bookmarkStart w:id="23" w:name="X816e8e31a4abc2bdd8b452a874e35edfdf1e3b0"/>
    <w:p>
      <w:pPr>
        <w:pStyle w:val="Heading2"/>
      </w:pPr>
      <w:r>
        <w:t xml:space="preserve">4. Market-Specific Challenges in United States Los Angeles</w:t>
      </w:r>
    </w:p>
    <w:p>
      <w:pPr>
        <w:pStyle w:val="FirstParagraph"/>
      </w:pPr>
      <w:r>
        <w:t xml:space="preserve">The Accountant team documented several region-specific challenges requiring immediate attention:</w:t>
      </w:r>
    </w:p>
    <w:p>
      <w:pPr>
        <w:numPr>
          <w:ilvl w:val="0"/>
          <w:numId w:val="1002"/>
        </w:numPr>
        <w:pStyle w:val="Compact"/>
      </w:pPr>
      <w:r>
        <w:rPr>
          <w:bCs/>
          <w:b/>
        </w:rPr>
        <w:t xml:space="preserve">Freight Cost Volatility:</w:t>
      </w:r>
      <w:r>
        <w:t xml:space="preserve"> </w:t>
      </w:r>
      <w:r>
        <w:t xml:space="preserve">Port of Los Angeles congestion increased shipping costs by 27% in Q3, directly impacting product margins. Our Accountant provided cost-avoidance strategies that saved $310K.</w:t>
      </w:r>
    </w:p>
    <w:p>
      <w:pPr>
        <w:numPr>
          <w:ilvl w:val="0"/>
          <w:numId w:val="1002"/>
        </w:numPr>
        <w:pStyle w:val="Compact"/>
      </w:pPr>
      <w:r>
        <w:rPr>
          <w:bCs/>
          <w:b/>
        </w:rPr>
        <w:t xml:space="preserve">Talent Retention Pressures:</w:t>
      </w:r>
      <w:r>
        <w:t xml:space="preserve"> </w:t>
      </w:r>
      <w:r>
        <w:t xml:space="preserve">The local accounting talent shortage (with LA's CPA vacancy rate at 18%) necessitated special recruitment bonuses approved by our Accountant leadership.</w:t>
      </w:r>
    </w:p>
    <w:p>
      <w:pPr>
        <w:numPr>
          <w:ilvl w:val="0"/>
          <w:numId w:val="1002"/>
        </w:numPr>
        <w:pStyle w:val="Compact"/>
      </w:pPr>
      <w:r>
        <w:rPr>
          <w:bCs/>
          <w:b/>
        </w:rPr>
        <w:t xml:space="preserve">Regulatory Complexities:</w:t>
      </w:r>
      <w:r>
        <w:t xml:space="preserve"> </w:t>
      </w:r>
      <w:r>
        <w:t xml:space="preserve">Los Angeles County's new digital services tax (3.5%) required urgent implementation of new sales reporting protocols, executed flawlessly by our Accountant department within 72 hours.</w:t>
      </w:r>
    </w:p>
    <w:bookmarkEnd w:id="23"/>
    <w:bookmarkStart w:id="24" w:name="X5f66b79d94a0320ef0ed03da0890c267529c1e3"/>
    <w:p>
      <w:pPr>
        <w:pStyle w:val="Heading2"/>
      </w:pPr>
      <w:r>
        <w:t xml:space="preserve">5. Strategic Recommendations from the Accountant Team</w:t>
      </w:r>
    </w:p>
    <w:p>
      <w:pPr>
        <w:pStyle w:val="FirstParagraph"/>
      </w:pPr>
      <w:r>
        <w:t xml:space="preserve">Based on this Sales Report analysis, we recommend three critical actions for United States Los Angeles operations:</w:t>
      </w:r>
    </w:p>
    <w:p>
      <w:pPr>
        <w:numPr>
          <w:ilvl w:val="0"/>
          <w:numId w:val="1003"/>
        </w:numPr>
        <w:pStyle w:val="Compact"/>
      </w:pPr>
      <w:r>
        <w:rPr>
          <w:bCs/>
          <w:b/>
        </w:rPr>
        <w:t xml:space="preserve">Expand LA-Specific Sales Analytics:</w:t>
      </w:r>
      <w:r>
        <w:t xml:space="preserve"> </w:t>
      </w:r>
      <w:r>
        <w:t xml:space="preserve">Implement a dedicated LA market analytics suite within our accounting system to track neighborhood-level sales patterns. This would allow us to identify emerging trends in areas like Boyle Heights or Pasadena before they become national opportunities.</w:t>
      </w:r>
    </w:p>
    <w:p>
      <w:pPr>
        <w:numPr>
          <w:ilvl w:val="0"/>
          <w:numId w:val="1003"/>
        </w:numPr>
        <w:pStyle w:val="Compact"/>
      </w:pPr>
      <w:r>
        <w:rPr>
          <w:bCs/>
          <w:b/>
        </w:rPr>
        <w:t xml:space="preserve">Launch Sales Tax Automation Pilot:</w:t>
      </w:r>
      <w:r>
        <w:t xml:space="preserve"> </w:t>
      </w:r>
      <w:r>
        <w:t xml:space="preserve">Invest in AI-powered tax compliance software for the Los Angeles region, which could reduce manual processing time by 65% and eliminate $240K+ annual compliance costs—directly benefiting the Accountant team's operational efficiency.</w:t>
      </w:r>
    </w:p>
    <w:bookmarkEnd w:id="24"/>
    <w:bookmarkStart w:id="25" w:name="Xf5d9752d30cf07b7ce00a6cd1a559e13a9d9fae"/>
    <w:p>
      <w:pPr>
        <w:pStyle w:val="Heading2"/>
      </w:pPr>
      <w:r>
        <w:t xml:space="preserve">6. Conclusion: The Accountant as Strategic Sales Partner</w:t>
      </w:r>
    </w:p>
    <w:p>
      <w:pPr>
        <w:pStyle w:val="FirstParagraph"/>
      </w:pPr>
      <w:r>
        <w:t xml:space="preserve">This Sales Report unequivocally demonstrates that in United States Los Angeles—a market demanding both financial precision and cultural agility—the Accountant is no longer a passive recorder of transactions but an active strategic partner driving sales success. Our Q3 performance proves that when the Accountant team is empowered with real-time data access and strategic influence, we achieve measurable competitive advantage.</w:t>
      </w:r>
    </w:p>
    <w:p>
      <w:pPr>
        <w:pStyle w:val="BodyText"/>
      </w:pPr>
      <w:r>
        <w:t xml:space="preserve">The Los Angeles market's unique blend of economic dynamism and regulatory complexity requires accounting expertise that understands local nuances—whether it's navigating Santa Monica's business license fees or complying with Los Angeles' new environmental reporting requirements. As we move into Q4, the Accountant department will continue to be the financial engine behind our sales growth strategy in this vital United States market.</w:t>
      </w:r>
    </w:p>
    <w:p>
      <w:pPr>
        <w:pStyle w:val="BodyText"/>
      </w:pPr>
      <w:r>
        <w:t xml:space="preserve">For further analysis of LA-specific sales patterns, please contact Maria Chen, Senior Accountant at m.chen@company.com or +1 (323) 555-0198. The complete Sales Report database is available via our secure LA Accounting Portal.</w:t>
      </w:r>
    </w:p>
    <w:p>
      <w:r>
        <w:pict>
          <v:rect style="width:0;height:1.5pt" o:hralign="center" o:hrstd="t" o:hr="t"/>
        </w:pict>
      </w:r>
    </w:p>
    <w:p>
      <w:pPr>
        <w:pStyle w:val="FirstParagraph"/>
      </w:pPr>
      <w:r>
        <w:rPr>
          <w:bCs/>
          <w:b/>
        </w:rPr>
        <w:t xml:space="preserve">Confidentiality Notice:</w:t>
      </w:r>
      <w:r>
        <w:t xml:space="preserve"> </w:t>
      </w:r>
      <w:r>
        <w:t xml:space="preserve">This Sales Report contains proprietary financial data for United States Los Angeles operations only. Unauthorized distribution prohibited. Prepared in compliance with California Accountancy Act and US GAAP standards by the certified Accountant team at 123 Financial Plaza, Los Angeles, 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Accountant Insights for United States Los Angeles</dc:title>
  <dc:creator/>
  <dc:language>en</dc:language>
  <cp:keywords/>
  <dcterms:created xsi:type="dcterms:W3CDTF">2026-07-24T16:59:23Z</dcterms:created>
  <dcterms:modified xsi:type="dcterms:W3CDTF">2026-07-24T16:59:23Z</dcterms:modified>
</cp:coreProperties>
</file>

<file path=docProps/custom.xml><?xml version="1.0" encoding="utf-8"?>
<Properties xmlns="http://schemas.openxmlformats.org/officeDocument/2006/custom-properties" xmlns:vt="http://schemas.openxmlformats.org/officeDocument/2006/docPropsVTypes"/>
</file>