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Miami</w:t>
      </w:r>
      <w:r>
        <w:t xml:space="preserve"> </w:t>
      </w:r>
      <w:r>
        <w:t xml:space="preserve">Sales</w:t>
      </w:r>
      <w:r>
        <w:t xml:space="preserve"> </w:t>
      </w:r>
      <w:r>
        <w:t xml:space="preserve">Performance</w:t>
      </w:r>
      <w:r>
        <w:t xml:space="preserve"> </w:t>
      </w:r>
      <w:r>
        <w:t xml:space="preserve">Analysis:</w:t>
      </w:r>
      <w:r>
        <w:t xml:space="preserve"> </w:t>
      </w:r>
      <w:r>
        <w:t xml:space="preserve">Accountant's</w:t>
      </w:r>
      <w:r>
        <w:t xml:space="preserve"> </w:t>
      </w:r>
      <w:r>
        <w:t xml:space="preserve">Financial</w:t>
      </w:r>
      <w:r>
        <w:t xml:space="preserve"> </w:t>
      </w:r>
      <w:r>
        <w:t xml:space="preserve">Review</w:t>
      </w:r>
    </w:p>
    <w:bookmarkStart w:id="27" w:name="Xc341e8cc7d25b73cea0ce681141000f2809adc2"/>
    <w:p>
      <w:pPr>
        <w:pStyle w:val="Heading1"/>
      </w:pPr>
      <w:r>
        <w:t xml:space="preserve">United States Miami Sales Performance Report: Comprehensive Financial Analysis by Certified Accountant</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Executive Leadership &amp; Board of Directors</w:t>
      </w:r>
      <w:r>
        <w:br/>
      </w:r>
      <w:r>
        <w:rPr>
          <w:bCs/>
          <w:b/>
        </w:rPr>
        <w:t xml:space="preserve">Prepared By:</w:t>
      </w:r>
      <w:r>
        <w:t xml:space="preserve"> </w:t>
      </w:r>
      <w:r>
        <w:t xml:space="preserve">Maria Chen, CPA (Florida License #12345), Senior Accountant, Miami Operations</w:t>
      </w:r>
    </w:p>
    <w:bookmarkStart w:id="20" w:name="executive-summary"/>
    <w:p>
      <w:pPr>
        <w:pStyle w:val="Heading2"/>
      </w:pPr>
      <w:r>
        <w:t xml:space="preserve">Executive Summary</w:t>
      </w:r>
    </w:p>
    <w:p>
      <w:pPr>
        <w:pStyle w:val="FirstParagraph"/>
      </w:pPr>
      <w:r>
        <w:t xml:space="preserve">This Sales Report provides a detailed financial analysis of our sales performance across the United States Miami market for Q3 2023. As the designated Accountant responsible for all financial reporting within our South Florida operations, I have meticulously reviewed sales data, revenue streams, and cost structures to ensure compliance with United States Generally Accepted Accounting Principles (GAAP) and Florida state regulations. The analysis confirms a 14.7% year-over-year increase in net sales ($8.2M vs $7.15M Q3 2022), driven by robust demand in our luxury retail segment and strategic partnerships with Miami-based hospitality brands. However, rising operational costs necessitate immediate cost-optimization strategies to protect profitability margins amid Miami's unique economic landscape.</w:t>
      </w:r>
    </w:p>
    <w:bookmarkEnd w:id="20"/>
    <w:bookmarkStart w:id="21" w:name="X088c24b9def6c4e406601fa74ab8bf12c4d0d04"/>
    <w:p>
      <w:pPr>
        <w:pStyle w:val="Heading2"/>
      </w:pPr>
      <w:r>
        <w:t xml:space="preserve">Market Context: United States Miami Economic Environment</w:t>
      </w:r>
    </w:p>
    <w:p>
      <w:pPr>
        <w:pStyle w:val="FirstParagraph"/>
      </w:pPr>
      <w:r>
        <w:t xml:space="preserve">Miami represents a critical growth hub within the United States economy, characterized by its status as a global financial center, tourism epicenter (ranking #1 for international arrivals), and burgeoning tech startup ecosystem. As an Accountant managing Florida operations, I emphasize that our sales performance must be interpreted through the lens of Miami's distinct fiscal environment: absence of state income tax but elevated local taxes (e.g., 6% Miami-Dade County sales tax), hurricane-related insurance premiums (+22% YoY in Q3), and seasonal volatility tied to tourism cycles. This report leverages Florida-specific data points, including the latest Miami Tourism Bureau statistics showing a 17% surge in luxury hotel occupancy during Q3 – directly correlating with our premium product sales lift.</w:t>
      </w:r>
    </w:p>
    <w:bookmarkEnd w:id="21"/>
    <w:bookmarkStart w:id="22" w:name="q3-sales-performance-breakdown"/>
    <w:p>
      <w:pPr>
        <w:pStyle w:val="Heading2"/>
      </w:pPr>
      <w:r>
        <w:t xml:space="preserve">Q3 Sales Performance Breakdown</w:t>
      </w:r>
    </w:p>
    <w:p>
      <w:pPr>
        <w:pStyle w:val="FirstParagraph"/>
      </w:pPr>
      <w:r>
        <w:t xml:space="preserve">Segment</w:t>
      </w:r>
    </w:p>
    <w:p>
      <w:pPr>
        <w:pStyle w:val="BodyText"/>
      </w:pPr>
      <w:r>
        <w:t xml:space="preserve">Q3 2023 Revenue</w:t>
      </w:r>
    </w:p>
    <w:p>
      <w:pPr>
        <w:pStyle w:val="BodyText"/>
      </w:pPr>
      <w:r>
        <w:t xml:space="preserve">% of Total Sales</w:t>
      </w:r>
    </w:p>
    <w:p>
      <w:pPr>
        <w:pStyle w:val="BodyText"/>
      </w:pPr>
      <w:r>
        <w:t xml:space="preserve">YoY Change</w:t>
      </w:r>
    </w:p>
    <w:p>
      <w:pPr>
        <w:pStyle w:val="BodyText"/>
      </w:pPr>
      <w:r>
        <w:t xml:space="preserve">Luxury Retail (Wynwood, Brickell)</w:t>
      </w:r>
    </w:p>
    <w:p>
      <w:pPr>
        <w:pStyle w:val="BodyText"/>
      </w:pPr>
      <w:r>
        <w:t xml:space="preserve">$4.1M</w:t>
      </w:r>
    </w:p>
    <w:p>
      <w:pPr>
        <w:pStyle w:val="BodyText"/>
      </w:pPr>
      <w:r>
        <w:t xml:space="preserve">50.0%</w:t>
      </w:r>
    </w:p>
    <w:p>
      <w:pPr>
        <w:pStyle w:val="BodyText"/>
      </w:pPr>
      <w:r>
        <w:t xml:space="preserve">+28.3%</w:t>
      </w:r>
    </w:p>
    <w:p>
      <w:pPr>
        <w:pStyle w:val="BodyText"/>
      </w:pPr>
      <w:r>
        <w:t xml:space="preserve">Corporate Contracts (MIA Airport Partnerships)</w:t>
      </w:r>
    </w:p>
    <w:p>
      <w:pPr>
        <w:pStyle w:val="BodyText"/>
      </w:pPr>
      <w:r>
        <w:t xml:space="preserve">$2.5M</w:t>
      </w:r>
    </w:p>
    <w:p>
      <w:pPr>
        <w:pStyle w:val="BodyText"/>
      </w:pPr>
      <w:r>
        <w:t xml:space="preserve">Total Sales Revenue</w:t>
      </w:r>
    </w:p>
    <w:p>
      <w:pPr>
        <w:pStyle w:val="BodyText"/>
      </w:pPr>
      <w:r>
        <w:t xml:space="preserve">$8.2M</w:t>
      </w:r>
    </w:p>
    <w:p>
      <w:pPr>
        <w:pStyle w:val="BodyText"/>
      </w:pPr>
      <w:r>
        <w:t xml:space="preserve">100%</w:t>
      </w:r>
    </w:p>
    <w:p>
      <w:pPr>
        <w:pStyle w:val="BodyText"/>
      </w:pPr>
      <w:r>
        <w:t xml:space="preserve">+14.7%</w:t>
      </w:r>
    </w:p>
    <w:p>
      <w:pPr>
        <w:pStyle w:val="BodyText"/>
      </w:pPr>
      <w:r>
        <w:t xml:space="preserve">Key findings from this Sales Report reveal that our luxury retail segment outperformed projections by 9.2%, primarily due to new partnerships with high-end resorts like The Setai and Faena Hotel in Miami Beach. The Accountant’s verification process confirmed 100% accuracy in sales recording across all 47 Miami locations through cross-referencing point-of-sale data, tax filings (FL Sales Tax Form R-12), and shipping manifests – a critical compliance step mandated for United States businesses operating in Florida.</w:t>
      </w:r>
    </w:p>
    <w:bookmarkEnd w:id="22"/>
    <w:bookmarkStart w:id="23" w:name="cost-analysis-profitability-assessment"/>
    <w:p>
      <w:pPr>
        <w:pStyle w:val="Heading2"/>
      </w:pPr>
      <w:r>
        <w:t xml:space="preserve">Cost Analysis &amp; Profitability Assessment</w:t>
      </w:r>
    </w:p>
    <w:p>
      <w:pPr>
        <w:pStyle w:val="FirstParagraph"/>
      </w:pPr>
      <w:r>
        <w:t xml:space="preserve">While revenue grew substantially, gross margins contracted by 3.8 percentage points (to 51.4%) due to Miami-specific cost pressures:</w:t>
      </w:r>
    </w:p>
    <w:p>
      <w:pPr>
        <w:numPr>
          <w:ilvl w:val="0"/>
          <w:numId w:val="1001"/>
        </w:numPr>
        <w:pStyle w:val="Compact"/>
      </w:pPr>
      <w:r>
        <w:rPr>
          <w:bCs/>
          <w:b/>
        </w:rPr>
        <w:t xml:space="preserve">Logistics:</w:t>
      </w:r>
      <w:r>
        <w:t xml:space="preserve"> </w:t>
      </w:r>
      <w:r>
        <w:t xml:space="preserve">+19% fuel costs from heightened port activity at PortMiami (a key US trade gateway)</w:t>
      </w:r>
    </w:p>
    <w:p>
      <w:pPr>
        <w:numPr>
          <w:ilvl w:val="0"/>
          <w:numId w:val="1001"/>
        </w:numPr>
        <w:pStyle w:val="Compact"/>
      </w:pPr>
      <w:r>
        <w:rPr>
          <w:bCs/>
          <w:b/>
        </w:rPr>
        <w:t xml:space="preserve">Compliance:</w:t>
      </w:r>
      <w:r>
        <w:t xml:space="preserve"> </w:t>
      </w:r>
      <w:r>
        <w:t xml:space="preserve">$87K in additional expenses for Florida Department of Revenue (FLDOR) sales tax filings and IRS Form 1099 processing</w:t>
      </w:r>
    </w:p>
    <w:p>
      <w:pPr>
        <w:numPr>
          <w:ilvl w:val="0"/>
          <w:numId w:val="1001"/>
        </w:numPr>
        <w:pStyle w:val="Compact"/>
      </w:pPr>
      <w:r>
        <w:rPr>
          <w:bCs/>
          <w:b/>
        </w:rPr>
        <w:t xml:space="preserve">Insurance:</w:t>
      </w:r>
      <w:r>
        <w:t xml:space="preserve"> </w:t>
      </w:r>
      <w:r>
        <w:t xml:space="preserve">Hurricane insurance premiums increased by 22% following Category 5 storm season projections</w:t>
      </w:r>
    </w:p>
    <w:p>
      <w:pPr>
        <w:pStyle w:val="FirstParagraph"/>
      </w:pPr>
      <w:r>
        <w:t xml:space="preserve">As the Accountant overseeing all Miami financial operations, I have implemented a new cost-tracking system integrated with QuickBooks Enterprise – enabling real-time margin analysis at the location level. This system has already identified $142K in inefficiencies within our Wynwood distribution center, directly attributable to improper inventory allocation during peak tourism periods.</w:t>
      </w:r>
    </w:p>
    <w:bookmarkEnd w:id="23"/>
    <w:bookmarkStart w:id="24" w:name="X84cfb94ccb728cdce50a323ca1a43f357ddad75"/>
    <w:p>
      <w:pPr>
        <w:pStyle w:val="Heading2"/>
      </w:pPr>
      <w:r>
        <w:t xml:space="preserve">Compliance &amp; Risk Management (United States Miami Focus)</w:t>
      </w:r>
    </w:p>
    <w:p>
      <w:pPr>
        <w:pStyle w:val="FirstParagraph"/>
      </w:pPr>
      <w:r>
        <w:t xml:space="preserve">This Sales Report emphasizes rigorous adherence to United States accounting standards and Florida-specific regulations. All sales data has been validated against:</w:t>
      </w:r>
    </w:p>
    <w:p>
      <w:pPr>
        <w:pStyle w:val="BodyText"/>
      </w:pPr>
      <w:r>
        <w:t xml:space="preserve">Florida Statute § 212.06: Mandatory sales tax collection for all physical retail operations</w:t>
      </w:r>
    </w:p>
    <w:p>
      <w:pPr>
        <w:pStyle w:val="BodyText"/>
      </w:pPr>
      <w:r>
        <w:t xml:space="preserve">IRS Revenue Procedure 2023-38: Updated guidelines for e-commerce revenue recognition in multi-state businesses</w:t>
      </w:r>
    </w:p>
    <w:p>
      <w:pPr>
        <w:pStyle w:val="BodyText"/>
      </w:pPr>
      <w:r>
        <w:t xml:space="preserve">Miami-Dade County Ordinance 95-71: Local advertising tax requirements for luxury goods marketing</w:t>
      </w:r>
    </w:p>
    <w:p>
      <w:pPr>
        <w:pStyle w:val="BodyText"/>
      </w:pPr>
      <w:r>
        <w:t xml:space="preserve">Our Miami office maintains full compliance with these standards, avoiding $230K in potential penalties. The Accountant’s role includes conducting quarterly internal audits of sales records – a practice essential for US businesses operating in high-compliance states like Florida.</w:t>
      </w:r>
    </w:p>
    <w:bookmarkEnd w:id="24"/>
    <w:bookmarkStart w:id="25" w:name="strategic-recommendations"/>
    <w:p>
      <w:pPr>
        <w:pStyle w:val="Heading2"/>
      </w:pPr>
      <w:r>
        <w:t xml:space="preserve">Strategic Recommendations</w:t>
      </w:r>
    </w:p>
    <w:p>
      <w:pPr>
        <w:pStyle w:val="FirstParagraph"/>
      </w:pPr>
      <w:r>
        <w:t xml:space="preserve">Based on this Sales Report and my analysis as the Miami-based Accountant, I propose the following actionable strategies:</w:t>
      </w:r>
    </w:p>
    <w:p>
      <w:pPr>
        <w:numPr>
          <w:ilvl w:val="0"/>
          <w:numId w:val="1002"/>
        </w:numPr>
        <w:pStyle w:val="Compact"/>
      </w:pPr>
      <w:r>
        <w:rPr>
          <w:bCs/>
          <w:b/>
        </w:rPr>
        <w:t xml:space="preserve">Optimize Inventory for Tourism Peaks:</w:t>
      </w:r>
      <w:r>
        <w:t xml:space="preserve"> </w:t>
      </w:r>
      <w:r>
        <w:t xml:space="preserve">Implement dynamic inventory allocation using AI-driven sales forecasting (leveraging Miami tourism data from VisitMiami.org), targeting 15% reduction in warehouse holding costs during Q4.</w:t>
      </w:r>
    </w:p>
    <w:p>
      <w:pPr>
        <w:numPr>
          <w:ilvl w:val="0"/>
          <w:numId w:val="1002"/>
        </w:numPr>
        <w:pStyle w:val="Compact"/>
      </w:pPr>
      <w:r>
        <w:rPr>
          <w:bCs/>
          <w:b/>
        </w:rPr>
        <w:t xml:space="preserve">Negotiate Port Logistics Contracts:</w:t>
      </w:r>
      <w:r>
        <w:t xml:space="preserve"> </w:t>
      </w:r>
      <w:r>
        <w:t xml:space="preserve">Collaborate with PortMiami authorities to secure discounted freight rates, projected to save $18K monthly given current cargo volumes.</w:t>
      </w:r>
    </w:p>
    <w:p>
      <w:pPr>
        <w:numPr>
          <w:ilvl w:val="0"/>
          <w:numId w:val="1002"/>
        </w:numPr>
        <w:pStyle w:val="Compact"/>
      </w:pPr>
      <w:r>
        <w:rPr>
          <w:bCs/>
          <w:b/>
        </w:rPr>
        <w:t xml:space="preserve">Automate Tax Compliance:</w:t>
      </w:r>
      <w:r>
        <w:t xml:space="preserve"> </w:t>
      </w:r>
      <w:r>
        <w:t xml:space="preserve">Deploy Florida-specific sales tax software (e.g., Avalara) to reduce FLDOR filing errors and cut compliance costs by 30% annually.</w:t>
      </w:r>
    </w:p>
    <w:p>
      <w:pPr>
        <w:numPr>
          <w:ilvl w:val="0"/>
          <w:numId w:val="1002"/>
        </w:numPr>
        <w:pStyle w:val="Compact"/>
      </w:pPr>
      <w:r>
        <w:rPr>
          <w:bCs/>
          <w:b/>
        </w:rPr>
        <w:t xml:space="preserve">Leverage Miami’s Economic Incentives:</w:t>
      </w:r>
      <w:r>
        <w:t xml:space="preserve"> </w:t>
      </w:r>
      <w:r>
        <w:t xml:space="preserve">Apply for the Miami-Dade County "Business Growth Grant" (up to $50K) for companies expanding local operations – directly applicable to our Q4 store openings in Little Havana and Edgewater.</w:t>
      </w:r>
    </w:p>
    <w:bookmarkEnd w:id="25"/>
    <w:bookmarkStart w:id="26" w:name="conclusion"/>
    <w:p>
      <w:pPr>
        <w:pStyle w:val="Heading2"/>
      </w:pPr>
      <w:r>
        <w:t xml:space="preserve">Conclusion</w:t>
      </w:r>
    </w:p>
    <w:p>
      <w:pPr>
        <w:pStyle w:val="FirstParagraph"/>
      </w:pPr>
      <w:r>
        <w:t xml:space="preserve">This comprehensive Sales Report underscores that Miami’s dynamic economy continues to present significant opportunities for growth, particularly within the luxury retail sector. As the Accountant managing all financial operations for United States Miami, I affirm that our sales performance is fundamentally sound but requires strategic cost management to sustain profitability. The 14.7% revenue growth demonstrates strong market positioning; however, without implementation of the recommended actions, gross margins may decline further in Q4 due to persistent Miami-specific economic pressures.</w:t>
      </w:r>
    </w:p>
    <w:p>
      <w:pPr>
        <w:pStyle w:val="BodyText"/>
      </w:pPr>
      <w:r>
        <w:t xml:space="preserve">I recommend formal approval of these strategies by November 15, 2023. As part of ongoing compliance for our United States Miami operations, I will provide a follow-up Sales Report tracking the impact of these initiatives on December 31, 2023. All financial data presented herein has been verified per GAAP standards and Florida state requirements.</w:t>
      </w:r>
    </w:p>
    <w:p>
      <w:pPr>
        <w:pStyle w:val="BodyText"/>
      </w:pPr>
      <w:r>
        <w:rPr>
          <w:bCs/>
          <w:b/>
        </w:rPr>
        <w:t xml:space="preserve">Prepared by:</w:t>
      </w:r>
      <w:r>
        <w:t xml:space="preserve"> </w:t>
      </w:r>
      <w:r>
        <w:t xml:space="preserve">Maria Chen, CPA</w:t>
      </w:r>
      <w:r>
        <w:br/>
      </w:r>
      <w:r>
        <w:rPr>
          <w:bCs/>
          <w:b/>
        </w:rPr>
        <w:t xml:space="preserve">Florida License #</w:t>
      </w:r>
      <w:r>
        <w:t xml:space="preserve">: 12345 (State Board of Accountancy)</w:t>
      </w:r>
      <w:r>
        <w:br/>
      </w:r>
      <w:r>
        <w:rPr>
          <w:bCs/>
          <w:b/>
        </w:rPr>
        <w:t xml:space="preserve">Contact</w:t>
      </w:r>
      <w:r>
        <w:t xml:space="preserve">: mchen@yourcompany.com | +1-305-555-7890</w:t>
      </w:r>
      <w:r>
        <w:br/>
      </w:r>
      <w:r>
        <w:rPr>
          <w:iCs/>
          <w:i/>
        </w:rPr>
        <w:t xml:space="preserve">This report is valid for United States Miami operations only and reflects data through September 30, 2023.</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Miami Sales Performance Analysis: Accountant's Financial Review</dc:title>
  <dc:creator/>
  <dc:language>en</dc:language>
  <cp:keywords/>
  <dcterms:created xsi:type="dcterms:W3CDTF">2026-07-23T20:34:46Z</dcterms:created>
  <dcterms:modified xsi:type="dcterms:W3CDTF">2026-07-23T20:34:46Z</dcterms:modified>
</cp:coreProperties>
</file>

<file path=docProps/custom.xml><?xml version="1.0" encoding="utf-8"?>
<Properties xmlns="http://schemas.openxmlformats.org/officeDocument/2006/custom-properties" xmlns:vt="http://schemas.openxmlformats.org/officeDocument/2006/docPropsVTypes"/>
</file>