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Operations</w:t>
      </w:r>
    </w:p>
    <w:bookmarkStart w:id="28" w:name="X174f5490fbefad8851ed91e62d9cb8ac256127a"/>
    <w:p>
      <w:pPr>
        <w:pStyle w:val="Heading1"/>
      </w:pPr>
      <w:r>
        <w:t xml:space="preserve">Q3 2023 Comprehensive Sales Performance Report: Accountant Analysis for United States New York City Operations</w:t>
      </w:r>
    </w:p>
    <w:p>
      <w:pPr>
        <w:pStyle w:val="FirstParagraph"/>
      </w:pPr>
      <w:r>
        <w:rPr>
          <w:bCs/>
          <w:b/>
        </w:rPr>
        <w:t xml:space="preserve">Prepared By:</w:t>
      </w:r>
      <w:r>
        <w:t xml:space="preserve"> </w:t>
      </w:r>
      <w:r>
        <w:t xml:space="preserve">Maria Chen, Senior Accountant</w:t>
      </w:r>
      <w:r>
        <w:br/>
      </w:r>
      <w:r>
        <w:rPr>
          <w:bCs/>
          <w:b/>
        </w:rPr>
        <w:t xml:space="preserve">Date:</w:t>
      </w:r>
      <w:r>
        <w:t xml:space="preserve"> </w:t>
      </w:r>
      <w:r>
        <w:t xml:space="preserve">October 26, 2023</w:t>
      </w:r>
      <w:r>
        <w:br/>
      </w:r>
      <w:r>
        <w:rPr>
          <w:bCs/>
          <w:b/>
        </w:rPr>
        <w:t xml:space="preserve">To:</w:t>
      </w:r>
      <w:r>
        <w:t xml:space="preserve"> </w:t>
      </w:r>
      <w:r>
        <w:t xml:space="preserve">Executive Leadership Team, Metro Dynamics Inc.</w:t>
      </w:r>
      <w:r>
        <w:br/>
      </w:r>
      <w:r>
        <w:rPr>
          <w:bCs/>
          <w:b/>
        </w:rPr>
        <w:t xml:space="preserve">Location:</w:t>
      </w:r>
      <w:r>
        <w:t xml:space="preserve"> </w:t>
      </w:r>
      <w:r>
        <w:t xml:space="preserve">New York City, United States</w:t>
      </w:r>
    </w:p>
    <w:bookmarkStart w:id="20" w:name="i.-executive-summary"/>
    <w:p>
      <w:pPr>
        <w:pStyle w:val="Heading2"/>
      </w:pPr>
      <w:r>
        <w:t xml:space="preserve">I. Executive Summary</w:t>
      </w:r>
    </w:p>
    <w:p>
      <w:pPr>
        <w:pStyle w:val="FirstParagraph"/>
      </w:pPr>
      <w:r>
        <w:t xml:space="preserve">This Sales Report provides a detailed financial analysis of Q3 2023 operations for our New York City-based division within the United States. As the designated Accountant responsible for financial oversight, I have conducted an exhaustive review of all revenue streams, cost structures, and compliance requirements specific to our Manhattan headquarters. The report confirms that despite challenging economic conditions in the United States New York City market, we achieved a 12.7% year-over-year sales growth while maintaining strict adherence to NYC tax regulations and federal accounting standards. This document serves as both a performance assessment and strategic roadmap for our fiscal planning.</w:t>
      </w:r>
    </w:p>
    <w:bookmarkEnd w:id="20"/>
    <w:bookmarkStart w:id="21" w:name="ii.-methodology-scope"/>
    <w:p>
      <w:pPr>
        <w:pStyle w:val="Heading2"/>
      </w:pPr>
      <w:r>
        <w:t xml:space="preserve">II. Methodology &amp; Scope</w:t>
      </w:r>
    </w:p>
    <w:p>
      <w:pPr>
        <w:pStyle w:val="FirstParagraph"/>
      </w:pPr>
      <w:r>
        <w:t xml:space="preserve">This Sales Report follows the Generally Accepted Accounting Principles (GAAP) mandated by the United States Securities and Exchange Commission, with special attention to New York State Department of Taxation and Finance requirements. As Accountant for our NYC operations, I analyzed all transactions within Manhattan borough boundaries from July 1 to September 30, 2023. The scope includes:</w:t>
      </w:r>
    </w:p>
    <w:p>
      <w:pPr>
        <w:numPr>
          <w:ilvl w:val="0"/>
          <w:numId w:val="1001"/>
        </w:numPr>
        <w:pStyle w:val="Compact"/>
      </w:pPr>
      <w:r>
        <w:t xml:space="preserve">All e-commerce and brick-and-mortar sales at our Times Square location</w:t>
      </w:r>
    </w:p>
    <w:p>
      <w:pPr>
        <w:numPr>
          <w:ilvl w:val="0"/>
          <w:numId w:val="1001"/>
        </w:numPr>
        <w:pStyle w:val="Compact"/>
      </w:pPr>
      <w:r>
        <w:t xml:space="preserve">Corporate client contracts with New York City municipal entities</w:t>
      </w:r>
    </w:p>
    <w:p>
      <w:pPr>
        <w:numPr>
          <w:ilvl w:val="0"/>
          <w:numId w:val="1001"/>
        </w:numPr>
        <w:pStyle w:val="Compact"/>
      </w:pPr>
      <w:r>
        <w:t xml:space="preserve">Compliance with NYC Business Personal Property Tax filings</w:t>
      </w:r>
    </w:p>
    <w:p>
      <w:pPr>
        <w:numPr>
          <w:ilvl w:val="0"/>
          <w:numId w:val="1001"/>
        </w:numPr>
        <w:pStyle w:val="Compact"/>
      </w:pPr>
      <w:r>
        <w:t xml:space="preserve">Analysis of pandemic-related market recovery patterns in the United States financial landscape</w:t>
      </w:r>
    </w:p>
    <w:bookmarkEnd w:id="21"/>
    <w:bookmarkStart w:id="22" w:name="X393777853211e4d884ac1f0755e20d6eb284ef0"/>
    <w:p>
      <w:pPr>
        <w:pStyle w:val="Heading2"/>
      </w:pPr>
      <w:r>
        <w:t xml:space="preserve">III. Key Sales Metrics: Q3 2023 vs. Q3 2022</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Change (%)</w:t>
      </w:r>
    </w:p>
    <w:p>
      <w:pPr>
        <w:pStyle w:val="BodyText"/>
      </w:pPr>
      <w:r>
        <w:t xml:space="preserve">Total Revenue (USD)</w:t>
      </w:r>
    </w:p>
    <w:p>
      <w:pPr>
        <w:pStyle w:val="BodyText"/>
      </w:pPr>
      <w:r>
        <w:t xml:space="preserve">$4,875,600</w:t>
      </w:r>
    </w:p>
    <w:p>
      <w:pPr>
        <w:pStyle w:val="BodyText"/>
      </w:pPr>
      <w:r>
        <w:t xml:space="preserve">$4,325,150</w:t>
      </w:r>
    </w:p>
    <w:p>
      <w:pPr>
        <w:pStyle w:val="BodyText"/>
      </w:pPr>
      <w:r>
        <w:t xml:space="preserve">+12.7%</w:t>
      </w:r>
    </w:p>
    <w:p>
      <w:pPr>
        <w:pStyle w:val="BodyText"/>
      </w:pPr>
      <w:r>
        <w:t xml:space="preserve">NYC Sales Growth Rate</w:t>
      </w:r>
    </w:p>
    <w:p>
      <w:pPr>
        <w:pStyle w:val="BodyText"/>
      </w:pPr>
      <w:r>
        <w:t xml:space="preserve">18.3%</w:t>
      </w:r>
    </w:p>
    <w:p>
      <w:pPr>
        <w:pStyle w:val="BodyText"/>
      </w:pPr>
      <w:r>
        <w:rPr>
          <w:bCs/>
          <w:b/>
        </w:rPr>
        <w:t xml:space="preserve">NA (Local Market Benchmark)</w:t>
      </w:r>
    </w:p>
    <w:p>
      <w:pPr>
        <w:pStyle w:val="BodyText"/>
      </w:pPr>
      <w:r>
        <w:t xml:space="preserve">Avg. Transaction Value</w:t>
      </w:r>
    </w:p>
    <w:p>
      <w:pPr>
        <w:pStyle w:val="BodyText"/>
      </w:pPr>
      <w:r>
        <w:t xml:space="preserve">$245.75</w:t>
      </w:r>
    </w:p>
    <w:p>
      <w:pPr>
        <w:pStyle w:val="BodyText"/>
      </w:pPr>
      <w:r>
        <w:t xml:space="preserve">$228.90</w:t>
      </w:r>
    </w:p>
    <w:p>
      <w:pPr>
        <w:pStyle w:val="BodyText"/>
      </w:pPr>
      <w:r>
        <w:t xml:space="preserve">+7.4%</w:t>
      </w:r>
    </w:p>
    <w:p>
      <w:pPr>
        <w:pStyle w:val="BodyText"/>
      </w:pPr>
      <w:r>
        <w:t xml:space="preserve">NYC Client Acquisition Cost</w:t>
      </w:r>
    </w:p>
    <w:p>
      <w:pPr>
        <w:pStyle w:val="BodyText"/>
      </w:pPr>
      <w:r>
        <w:t xml:space="preserve">$118.60</w:t>
      </w:r>
    </w:p>
    <w:bookmarkEnd w:id="22"/>
    <w:bookmarkStart w:id="23" w:name="X8daa4af7fde76c1d1aabf306ed75afe55785391"/>
    <w:p>
      <w:pPr>
        <w:pStyle w:val="Heading2"/>
      </w:pPr>
      <w:r>
        <w:t xml:space="preserve">IV. NYC-Specific Performance Drivers (Accountant Analysis)</w:t>
      </w:r>
    </w:p>
    <w:p>
      <w:pPr>
        <w:pStyle w:val="FirstParagraph"/>
      </w:pPr>
      <w:r>
        <w:t xml:space="preserve">As the Accountant managing United States New York City financial operations, I identified three critical factors behind our Q3 success:</w:t>
      </w:r>
    </w:p>
    <w:p>
      <w:pPr>
        <w:numPr>
          <w:ilvl w:val="0"/>
          <w:numId w:val="1002"/>
        </w:numPr>
        <w:pStyle w:val="Compact"/>
      </w:pPr>
      <w:r>
        <w:rPr>
          <w:bCs/>
          <w:b/>
        </w:rPr>
        <w:t xml:space="preserve">Targeted Tourism Recovery:</w:t>
      </w:r>
      <w:r>
        <w:t xml:space="preserve"> </w:t>
      </w:r>
      <w:r>
        <w:t xml:space="preserve">37% of sales growth came from international visitors to NYC, a market we strategically reactivated through tax-compliant partnerships with local tourism boards. This required meticulous tracking of the New York State Hotel Occupancy Tax (14.75%) on all hotel-based transactions.</w:t>
      </w:r>
    </w:p>
    <w:p>
      <w:pPr>
        <w:numPr>
          <w:ilvl w:val="0"/>
          <w:numId w:val="1002"/>
        </w:numPr>
        <w:pStyle w:val="Compact"/>
      </w:pPr>
      <w:r>
        <w:rPr>
          <w:bCs/>
          <w:b/>
        </w:rPr>
        <w:t xml:space="preserve">City Contract Wins:</w:t>
      </w:r>
      <w:r>
        <w:t xml:space="preserve"> </w:t>
      </w:r>
      <w:r>
        <w:t xml:space="preserve">Secured three major New York City Department of Education contracts totaling $682,000. As Accountant, I ensured strict compliance with NYC Procurement Rules (Section 3-219) and implemented a new invoice tracking system that reduced payment delays by 41%.</w:t>
      </w:r>
    </w:p>
    <w:p>
      <w:pPr>
        <w:numPr>
          <w:ilvl w:val="0"/>
          <w:numId w:val="1002"/>
        </w:numPr>
        <w:pStyle w:val="Compact"/>
      </w:pPr>
      <w:r>
        <w:rPr>
          <w:bCs/>
          <w:b/>
        </w:rPr>
        <w:t xml:space="preserve">Local Tax Optimization:</w:t>
      </w:r>
      <w:r>
        <w:t xml:space="preserve"> </w:t>
      </w:r>
      <w:r>
        <w:t xml:space="preserve">Negotiated revised commercial rent agreements with Manhattan property owners under NYC Commercial Rent Relief Program, saving $87,000 quarterly. This required careful analysis of the NYC Business Improvement District (BID) fees and tax abatement programs specific to our 5th Avenue location.</w:t>
      </w:r>
    </w:p>
    <w:bookmarkEnd w:id="23"/>
    <w:bookmarkStart w:id="24" w:name="X4a67afba7ee92ca9c41af94bb2c98fd5ae6265a"/>
    <w:p>
      <w:pPr>
        <w:pStyle w:val="Heading2"/>
      </w:pPr>
      <w:r>
        <w:t xml:space="preserve">V. Financial Compliance in United States New York City</w:t>
      </w:r>
    </w:p>
    <w:p>
      <w:pPr>
        <w:pStyle w:val="FirstParagraph"/>
      </w:pPr>
      <w:r>
        <w:t xml:space="preserve">As the Accountant responsible for all New York City financial operations, I've maintained complete compliance with:</w:t>
      </w:r>
    </w:p>
    <w:p>
      <w:pPr>
        <w:numPr>
          <w:ilvl w:val="0"/>
          <w:numId w:val="1003"/>
        </w:numPr>
        <w:pStyle w:val="Compact"/>
      </w:pPr>
      <w:r>
        <w:rPr>
          <w:bCs/>
          <w:b/>
        </w:rPr>
        <w:t xml:space="preserve">New York State Sales Tax:</w:t>
      </w:r>
      <w:r>
        <w:t xml:space="preserve"> </w:t>
      </w:r>
      <w:r>
        <w:t xml:space="preserve">4% state tax + 0-4.5% NYC local tax (varies by borough). Our Q3 sales tax collection exceeded requirements by $18,200 through improved POS system integration.</w:t>
      </w:r>
    </w:p>
    <w:p>
      <w:pPr>
        <w:numPr>
          <w:ilvl w:val="0"/>
          <w:numId w:val="1003"/>
        </w:numPr>
        <w:pStyle w:val="Compact"/>
      </w:pPr>
      <w:r>
        <w:rPr>
          <w:bCs/>
          <w:b/>
        </w:rPr>
        <w:t xml:space="preserve">City Earned Income Tax:</w:t>
      </w:r>
      <w:r>
        <w:t xml:space="preserve"> </w:t>
      </w:r>
      <w:r>
        <w:t xml:space="preserve">Filed all required NYC EIT returns for our 72 employees with zero penalties after implementing quarterly tax education sessions I led at our Midtown office.</w:t>
      </w:r>
    </w:p>
    <w:p>
      <w:pPr>
        <w:numPr>
          <w:ilvl w:val="0"/>
          <w:numId w:val="1003"/>
        </w:numPr>
        <w:pStyle w:val="Compact"/>
      </w:pPr>
      <w:r>
        <w:rPr>
          <w:bCs/>
          <w:b/>
        </w:rPr>
        <w:t xml:space="preserve">Health Insurance Mandate:</w:t>
      </w:r>
      <w:r>
        <w:t xml:space="preserve"> </w:t>
      </w:r>
      <w:r>
        <w:t xml:space="preserve">Ensured full compliance with NYC's Health Care Security Ordinance for all staff, avoiding $23,000 in potential fines through proactive payroll adjustments.</w:t>
      </w:r>
    </w:p>
    <w:bookmarkEnd w:id="24"/>
    <w:bookmarkStart w:id="25" w:name="vi.-challenges-strategic-adjustments"/>
    <w:p>
      <w:pPr>
        <w:pStyle w:val="Heading2"/>
      </w:pPr>
      <w:r>
        <w:t xml:space="preserve">VI. Challenges &amp; Strategic Adjustments</w:t>
      </w:r>
    </w:p>
    <w:p>
      <w:pPr>
        <w:pStyle w:val="FirstParagraph"/>
      </w:pPr>
      <w:r>
        <w:t xml:space="preserve">Despite strong results, our Accountant analysis revealed two critical challenges requiring immediate attention:</w:t>
      </w:r>
    </w:p>
    <w:p>
      <w:pPr>
        <w:numPr>
          <w:ilvl w:val="0"/>
          <w:numId w:val="1004"/>
        </w:numPr>
        <w:pStyle w:val="Compact"/>
      </w:pPr>
      <w:r>
        <w:rPr>
          <w:bCs/>
          <w:b/>
        </w:rPr>
        <w:t xml:space="preserve">Supply Chain Inflation Impact:</w:t>
      </w:r>
      <w:r>
        <w:t xml:space="preserve"> </w:t>
      </w:r>
      <w:r>
        <w:t xml:space="preserve">18% increase in inventory costs from NYC port congestion directly affected our gross margin. Recommendation: Implement JIT (Just-in-Time) inventory system for high-demand NYC products by Q1 2024.</w:t>
      </w:r>
    </w:p>
    <w:p>
      <w:pPr>
        <w:numPr>
          <w:ilvl w:val="0"/>
          <w:numId w:val="1004"/>
        </w:numPr>
        <w:pStyle w:val="Compact"/>
      </w:pPr>
      <w:r>
        <w:rPr>
          <w:bCs/>
          <w:b/>
        </w:rPr>
        <w:t xml:space="preserve">NYC Labor Market Competition:</w:t>
      </w:r>
      <w:r>
        <w:t xml:space="preserve"> </w:t>
      </w:r>
      <w:r>
        <w:t xml:space="preserve">Difficulty retaining sales staff due to competitive wages in United States New York City. As Accountant, I've proposed a performance-based bonus structure funded through Q3 profit margin improvements (projected $64,000 savings).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this comprehensive Sales Report and my role as Accountant overseeing all NYC financial operations, I recommend:</w:t>
      </w:r>
    </w:p>
    <w:p>
      <w:pPr>
        <w:numPr>
          <w:ilvl w:val="0"/>
          <w:numId w:val="1005"/>
        </w:numPr>
        <w:pStyle w:val="Compact"/>
      </w:pPr>
      <w:r>
        <w:rPr>
          <w:bCs/>
          <w:b/>
        </w:rPr>
        <w:t xml:space="preserve">NYC Tax Planning Initiative:</w:t>
      </w:r>
      <w:r>
        <w:t xml:space="preserve"> </w:t>
      </w:r>
      <w:r>
        <w:t xml:space="preserve">Allocate $45,000 to engage a NYC-specific tax consultant for 2024 planning. Current tax code changes (effective January 2024) will impact our sales margins by approximately 3.7%.</w:t>
      </w:r>
    </w:p>
    <w:p>
      <w:pPr>
        <w:numPr>
          <w:ilvl w:val="0"/>
          <w:numId w:val="1005"/>
        </w:numPr>
        <w:pStyle w:val="Compact"/>
      </w:pPr>
      <w:r>
        <w:rPr>
          <w:bCs/>
          <w:b/>
        </w:rPr>
        <w:t xml:space="preserve">Local Market Expansion:</w:t>
      </w:r>
      <w:r>
        <w:t xml:space="preserve"> </w:t>
      </w:r>
      <w:r>
        <w:t xml:space="preserve">Launch targeted marketing campaign in Brooklyn and Queens neighborhoods based on Q3 purchase pattern data showing 31% untapped potential in those boroughs.</w:t>
      </w:r>
    </w:p>
    <w:p>
      <w:pPr>
        <w:numPr>
          <w:ilvl w:val="0"/>
          <w:numId w:val="1005"/>
        </w:numPr>
        <w:pStyle w:val="Compact"/>
      </w:pPr>
      <w:r>
        <w:rPr>
          <w:bCs/>
          <w:b/>
        </w:rPr>
        <w:t xml:space="preserve">Accountant-Driven Compliance Dashboard:</w:t>
      </w:r>
      <w:r>
        <w:t xml:space="preserve"> </w:t>
      </w:r>
      <w:r>
        <w:t xml:space="preserve">Implement real-time sales tax compliance tracking system to monitor NYC-specific regulations across all our United States operations, reducing audit risks by an estimated 65%.</w:t>
      </w:r>
    </w:p>
    <w:bookmarkEnd w:id="26"/>
    <w:bookmarkStart w:id="27" w:name="viii.-conclusion"/>
    <w:p>
      <w:pPr>
        <w:pStyle w:val="Heading2"/>
      </w:pPr>
      <w:r>
        <w:t xml:space="preserve">VIII. Conclusion</w:t>
      </w:r>
    </w:p>
    <w:p>
      <w:pPr>
        <w:pStyle w:val="FirstParagraph"/>
      </w:pPr>
      <w:r>
        <w:t xml:space="preserve">This Sales Report demonstrates that through rigorous financial analysis and strategic compliance management—executed as Accountant for our New York City division—we've not only achieved significant sales growth but also established a model for sustainable profitability within the United States' most complex urban market. Our Q3 performance exceeds NYC industry benchmarks by 5.2% (per New York Chamber of Commerce data) and validates our location strategy in the heart of United States economic activity.</w:t>
      </w:r>
    </w:p>
    <w:p>
      <w:pPr>
        <w:pStyle w:val="BodyText"/>
      </w:pPr>
      <w:r>
        <w:t xml:space="preserve">As we move into Q4, I will continue to serve as the primary Accountant for all New York City financial operations, ensuring every sales transaction aligns with both federal accounting standards and New York City's evolving regulatory environment. This Sales Report is now available for review in our NYC finance portal, where all data can be filtered by borough, product line, or tax jurisdiction—providing unprecedented transparency into our United States New York City business performance.</w:t>
      </w:r>
    </w:p>
    <w:p>
      <w:pPr>
        <w:pStyle w:val="BodyText"/>
      </w:pPr>
      <w:r>
        <w:rPr>
          <w:bCs/>
          <w:b/>
        </w:rPr>
        <w:t xml:space="preserve">Prepared with strict adherence to:</w:t>
      </w:r>
      <w:r>
        <w:t xml:space="preserve"> </w:t>
      </w:r>
      <w:r>
        <w:t xml:space="preserve">NY State Tax Law § 13-400 &amp; SEC Regulation S-X | Certified by: Maria Chen (CPA, NY #298745)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Accountant Analysis for New York City Operations</dc:title>
  <dc:creator/>
  <dc:language>en</dc:language>
  <cp:keywords/>
  <dcterms:created xsi:type="dcterms:W3CDTF">2026-07-25T18:05:20Z</dcterms:created>
  <dcterms:modified xsi:type="dcterms:W3CDTF">2026-07-25T18:05:20Z</dcterms:modified>
</cp:coreProperties>
</file>

<file path=docProps/custom.xml><?xml version="1.0" encoding="utf-8"?>
<Properties xmlns="http://schemas.openxmlformats.org/officeDocument/2006/custom-properties" xmlns:vt="http://schemas.openxmlformats.org/officeDocument/2006/docPropsVTypes"/>
</file>