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6" w:name="Xc5387ff8289412f345e20c46e10d49887ead9cc"/>
    <w:p>
      <w:pPr>
        <w:pStyle w:val="Heading1"/>
      </w:pPr>
      <w:r>
        <w:t xml:space="preserve">Sales Performance Analysis &amp; Accounting Oversight Report for Tashkent Operations,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Leadership Team, Uzbekistan Tashkent Regional Office</w:t>
      </w:r>
      <w:r>
        <w:br/>
      </w:r>
      <w:r>
        <w:rPr>
          <w:bCs/>
          <w:b/>
        </w:rPr>
        <w:t xml:space="preserve">Prepared By:</w:t>
      </w:r>
      <w:r>
        <w:t xml:space="preserve"> </w:t>
      </w:r>
      <w:r>
        <w:t xml:space="preserve">Finance &amp; Sales Reporting Department</w:t>
      </w:r>
    </w:p>
    <w:bookmarkStart w:id="20" w:name="X912d8f881e32f6d8d58c92d55d63a12e80e8b8f"/>
    <w:p>
      <w:pPr>
        <w:pStyle w:val="Heading2"/>
      </w:pPr>
      <w:r>
        <w:t xml:space="preserve">I. Executive Summary: Integrating Sales Data and Accounting Excellence in Uzbekistan Tashkent</w:t>
      </w:r>
    </w:p>
    <w:p>
      <w:pPr>
        <w:pStyle w:val="FirstParagraph"/>
      </w:pPr>
      <w:r>
        <w:t xml:space="preserve">This comprehensive Sales Report details the financial performance of our Tashkent operations for Q3 2023, emphasizing the critical role of the Accountant in ensuring accurate sales reporting, compliance with Uzbekistan financial regulations, and strategic decision-making. The Accountant functions as the cornerstone of sales data integrity within Uzbekistan Tashkent, directly impacting revenue recognition, tax compliance (including Uzbekistan's 17% VAT and corporate income tax), and regional profitability analysis. As the central hub for Central Asian operations, Tashkent demands meticulous financial oversight where Sales Report accuracy is non-negotiable for maintaining trust with both local authorities and international stakeholders.</w:t>
      </w:r>
    </w:p>
    <w:bookmarkEnd w:id="20"/>
    <w:bookmarkStart w:id="21" w:name="Xd4efc3fd890629718f17b933385a39ca6849bfb"/>
    <w:p>
      <w:pPr>
        <w:pStyle w:val="Heading2"/>
      </w:pPr>
      <w:r>
        <w:t xml:space="preserve">II. Key Responsibilities of the Accountant in Uzbekistan Tashkent Sales Reporting</w:t>
      </w:r>
    </w:p>
    <w:p>
      <w:pPr>
        <w:pStyle w:val="FirstParagraph"/>
      </w:pPr>
      <w:r>
        <w:t xml:space="preserve">The Accountant in our Tashkent office bears specialized responsibilities beyond standard bookkeeping, directly tied to the creation and validation of Sales Reports:</w:t>
      </w:r>
    </w:p>
    <w:p>
      <w:pPr>
        <w:numPr>
          <w:ilvl w:val="0"/>
          <w:numId w:val="1001"/>
        </w:numPr>
        <w:pStyle w:val="Compact"/>
      </w:pPr>
      <w:r>
        <w:rPr>
          <w:bCs/>
          <w:b/>
        </w:rPr>
        <w:t xml:space="preserve">Real-Time Sales Data Reconciliation:</w:t>
      </w:r>
      <w:r>
        <w:t xml:space="preserve"> </w:t>
      </w:r>
      <w:r>
        <w:t xml:space="preserve">The Accountant daily verifies sales figures from point-of-sale systems (e.g., "Mobil", "E-Shop" platforms common in Uzbekistan) against bank deposits and internal sales registers, ensuring alignment with Uzbekistan's Central Bank reporting standards for cash flow transparency in Tashkent.</w:t>
      </w:r>
    </w:p>
    <w:p>
      <w:pPr>
        <w:numPr>
          <w:ilvl w:val="0"/>
          <w:numId w:val="1001"/>
        </w:numPr>
        <w:pStyle w:val="Compact"/>
      </w:pPr>
      <w:r>
        <w:rPr>
          <w:bCs/>
          <w:b/>
        </w:rPr>
        <w:t xml:space="preserve">Compliance with Uzbek Tax Laws:</w:t>
      </w:r>
      <w:r>
        <w:t xml:space="preserve"> </w:t>
      </w:r>
      <w:r>
        <w:t xml:space="preserve">Crucially, the Accountant ensures every Sales Report accurately reflects Uzbekistan's tax requirements (Decree No. 2306 on VAT, Law No. ZR-131 on Corporate Tax). This includes correctly applying local tax rates to sales transactions within Tashkent's commercial zones like Chilanzar and Mirzo Ulug'bek, preventing penalties from the Uzbekistan State Tax Committee (STC).</w:t>
      </w:r>
    </w:p>
    <w:p>
      <w:pPr>
        <w:numPr>
          <w:ilvl w:val="0"/>
          <w:numId w:val="1001"/>
        </w:numPr>
        <w:pStyle w:val="Compact"/>
      </w:pPr>
      <w:r>
        <w:rPr>
          <w:bCs/>
          <w:b/>
        </w:rPr>
        <w:t xml:space="preserve">Regional Reporting Accuracy:</w:t>
      </w:r>
      <w:r>
        <w:t xml:space="preserve"> </w:t>
      </w:r>
      <w:r>
        <w:t xml:space="preserve">The Accountant compiles monthly Sales Reports for the Tashkent branch, translating complex sales data into clear financial insights for headquarters. This includes segmenting performance by Uzbekistan's key regions (e.g., Fergana Valley, Samarkand) to support localized sales strategies from our Tashkent base.</w:t>
      </w:r>
    </w:p>
    <w:p>
      <w:pPr>
        <w:numPr>
          <w:ilvl w:val="0"/>
          <w:numId w:val="1001"/>
        </w:numPr>
        <w:pStyle w:val="Compact"/>
      </w:pPr>
      <w:r>
        <w:rPr>
          <w:bCs/>
          <w:b/>
        </w:rPr>
        <w:t xml:space="preserve">Integration with Digital Systems:</w:t>
      </w:r>
      <w:r>
        <w:t xml:space="preserve"> </w:t>
      </w:r>
      <w:r>
        <w:t xml:space="preserve">Proficiency in Uzbekistan's mandatory "eTax" portal and local ERP systems (like "Kassa") is essential. The Accountant utilizes these platforms to generate compliant Sales Reports, a requirement under Uzbekistan's 2021 Digital Economy Law impacting all financial reporting.</w:t>
      </w:r>
    </w:p>
    <w:bookmarkEnd w:id="21"/>
    <w:bookmarkStart w:id="22" w:name="X38f8a226fd7aafb9e64677a2e6839e15118d257"/>
    <w:p>
      <w:pPr>
        <w:pStyle w:val="Heading2"/>
      </w:pPr>
      <w:r>
        <w:t xml:space="preserve">III. Sales Report Performance Metrics: Tashkent Focus</w:t>
      </w:r>
    </w:p>
    <w:p>
      <w:pPr>
        <w:pStyle w:val="FirstParagraph"/>
      </w:pPr>
      <w:r>
        <w:t xml:space="preserve">The Q3 2023 Sales Report for Uzbekistan Tashkent reveals strong market traction, directly enabled by the Accountant's rigorous data management: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(Tashkent)</w:t>
            </w:r>
          </w:p>
        </w:tc>
        <w:tc>
          <w:tcPr/>
          <w:p>
            <w:pPr>
              <w:pStyle w:val="Compact"/>
              <w:jc w:val="left"/>
            </w:pPr>
            <w:r>
              <w:t xml:space="preserve">Q2 2023 (Tashkent)</w:t>
            </w:r>
          </w:p>
        </w:tc>
        <w:tc>
          <w:tcPr/>
          <w:p>
            <w:pPr>
              <w:pStyle w:val="Compact"/>
              <w:jc w:val="left"/>
            </w:pPr>
            <w:r>
              <w:t xml:space="preserve">YoY Change</w:t>
            </w:r>
          </w:p>
        </w:tc>
      </w:tr>
      <w:tr>
        <w:tc>
          <w:tcPr/>
          <w:p>
            <w:pPr>
              <w:pStyle w:val="Compact"/>
              <w:jc w:val="left"/>
            </w:pPr>
            <w:r>
              <w:t xml:space="preserve">Total Sales Revenue (USD)</w:t>
            </w:r>
          </w:p>
        </w:tc>
        <w:tc>
          <w:tcPr/>
          <w:p>
            <w:pPr>
              <w:pStyle w:val="Compact"/>
              <w:jc w:val="left"/>
            </w:pPr>
            <w:r>
              <w:t xml:space="preserve">$1.85M</w:t>
            </w:r>
          </w:p>
        </w:tc>
        <w:tc>
          <w:tcPr/>
          <w:p>
            <w:pPr>
              <w:pStyle w:val="Compact"/>
              <w:jc w:val="left"/>
            </w:pPr>
            <w:r>
              <w:t xml:space="preserve">$1.67M</w:t>
            </w:r>
          </w:p>
        </w:tc>
        <w:tc>
          <w:tcPr/>
          <w:p>
            <w:pPr>
              <w:pStyle w:val="Compact"/>
              <w:jc w:val="left"/>
            </w:pPr>
            <w:r>
              <w:t xml:space="preserve">+10.8%</w:t>
            </w:r>
          </w:p>
        </w:tc>
      </w:tr>
      <w:tr>
        <w:tc>
          <w:tcPr/>
          <w:p>
            <w:pPr>
              <w:pStyle w:val="Compact"/>
              <w:jc w:val="left"/>
            </w:pPr>
            <w:r>
              <w:t xml:space="preserve">On-Time Sales Report Submission Rate</w:t>
            </w:r>
          </w:p>
        </w:tc>
        <w:tc>
          <w:tcPr/>
          <w:p>
            <w:pPr>
              <w:pStyle w:val="Compact"/>
              <w:jc w:val="left"/>
            </w:pPr>
            <w:r>
              <w:t xml:space="preserve">99.2%</w:t>
            </w:r>
          </w:p>
        </w:tc>
        <w:tc>
          <w:tcPr/>
          <w:p>
            <w:pPr>
              <w:pStyle w:val="Compact"/>
              <w:jc w:val="left"/>
            </w:pPr>
            <w:r>
              <w:t xml:space="preserve">95.5%</w:t>
            </w:r>
          </w:p>
        </w:tc>
        <w:tc>
          <w:tcPr/>
          <w:p>
            <w:pPr>
              <w:pStyle w:val="Compact"/>
              <w:jc w:val="left"/>
            </w:pPr>
            <w:r>
              <w:t xml:space="preserve">+3.7% (Driven by Accountant Efficiency)</w:t>
            </w:r>
          </w:p>
        </w:tc>
      </w:tr>
      <w:tr>
        <w:tc>
          <w:tcPr/>
          <w:p>
            <w:pPr>
              <w:pStyle w:val="Compact"/>
              <w:jc w:val="left"/>
            </w:pPr>
            <w:r>
              <w:t xml:space="preserve">VAT Compliance Rate</w:t>
            </w:r>
          </w:p>
        </w:tc>
        <w:tc>
          <w:tcPr/>
          <w:p>
            <w:pPr>
              <w:pStyle w:val="Compact"/>
              <w:jc w:val="left"/>
            </w:pPr>
            <w:r>
              <w:t xml:space="preserve">100% (Uzbekistan STC Audit Passed)</w:t>
            </w:r>
          </w:p>
        </w:tc>
        <w:tc>
          <w:tcPr/>
          <w:p>
            <w:pPr>
              <w:pStyle w:val="Compact"/>
              <w:jc w:val="left"/>
            </w:pPr>
            <w:r>
              <w:t xml:space="preserve">98.3%</w:t>
            </w:r>
          </w:p>
        </w:tc>
        <w:tc>
          <w:tcPr/>
          <w:p>
            <w:pPr>
              <w:pStyle w:val="Compact"/>
              <w:jc w:val="left"/>
            </w:pPr>
            <w:r>
              <w:t xml:space="preserve">+1.7%</w:t>
            </w:r>
          </w:p>
        </w:tc>
      </w:tr>
      <w:tr>
        <w:tc>
          <w:tcPr/>
          <w:p>
            <w:pPr>
              <w:pStyle w:val="Compact"/>
              <w:jc w:val="left"/>
            </w:pPr>
            <w:r>
              <w:t xml:space="preserve">Cost of Sales Report Errors (USD)</w:t>
            </w:r>
          </w:p>
        </w:tc>
        <w:tc>
          <w:tcPr/>
          <w:p>
            <w:pPr>
              <w:pStyle w:val="Compact"/>
              <w:jc w:val="left"/>
            </w:pPr>
            <w:r>
              <w:t xml:space="preserve">$2,450</w:t>
            </w:r>
          </w:p>
        </w:tc>
        <w:tc>
          <w:tcPr/>
          <w:p>
            <w:pPr>
              <w:pStyle w:val="Compact"/>
              <w:jc w:val="left"/>
            </w:pPr>
            <w:r>
              <w:t xml:space="preserve">$14,800</w:t>
            </w:r>
          </w:p>
        </w:tc>
        <w:tc>
          <w:tcPr/>
          <w:p>
            <w:pPr>
              <w:pStyle w:val="Compact"/>
              <w:jc w:val="left"/>
            </w:pPr>
            <w:r>
              <w:t xml:space="preserve">-83.5% Reduction</w:t>
            </w:r>
          </w:p>
        </w:tc>
      </w:tr>
    </w:tbl>
    <w:p>
      <w:pPr>
        <w:pStyle w:val="BodyText"/>
      </w:pPr>
      <w:r>
        <w:rPr>
          <w:iCs/>
          <w:i/>
        </w:rPr>
        <w:t xml:space="preserve">Note:</w:t>
      </w:r>
      <w:r>
        <w:t xml:space="preserve"> </w:t>
      </w:r>
      <w:r>
        <w:t xml:space="preserve">The significant reduction in errors (Q3 vs Q2) is directly attributed to enhanced Accountant training on Uzbekistan's specific accounting standards and streamlined Sales Report validation protocols implemented in Tashkent.</w:t>
      </w:r>
    </w:p>
    <w:bookmarkEnd w:id="22"/>
    <w:bookmarkStart w:id="23" w:name="X6859a75f6d26714427b832d1efd4c8ae601862a"/>
    <w:p>
      <w:pPr>
        <w:pStyle w:val="Heading2"/>
      </w:pPr>
      <w:r>
        <w:t xml:space="preserve">IV. Critical Success Factors for the Accountant Role in Uzbekistan</w:t>
      </w:r>
    </w:p>
    <w:p>
      <w:pPr>
        <w:pStyle w:val="FirstParagraph"/>
      </w:pPr>
      <w:r>
        <w:t xml:space="preserve">The effectiveness of the Accountant role in generating reliable Sales Reports hinges on three pillars unique to the Uzbekistan Tashkent environment:</w:t>
      </w:r>
    </w:p>
    <w:p>
      <w:pPr>
        <w:numPr>
          <w:ilvl w:val="0"/>
          <w:numId w:val="1002"/>
        </w:numPr>
        <w:pStyle w:val="Compact"/>
      </w:pPr>
      <w:r>
        <w:rPr>
          <w:bCs/>
          <w:b/>
        </w:rPr>
        <w:t xml:space="preserve">Local Regulatory Mastery:</w:t>
      </w:r>
      <w:r>
        <w:t xml:space="preserve"> </w:t>
      </w:r>
      <w:r>
        <w:t xml:space="preserve">Understanding nuances like Uzbekistan's requirement for sales reports to include "sotuv" (sales) documentation under Decree No. 457 and adherence to the National Accounting Standards adopted by the Ministry of Finance. An Accountant without this knowledge risks non-compliance in Tashkent.</w:t>
      </w:r>
    </w:p>
    <w:p>
      <w:pPr>
        <w:numPr>
          <w:ilvl w:val="0"/>
          <w:numId w:val="1002"/>
        </w:numPr>
        <w:pStyle w:val="Compact"/>
      </w:pPr>
      <w:r>
        <w:rPr>
          <w:bCs/>
          <w:b/>
        </w:rPr>
        <w:t xml:space="preserve">Cultural &amp; Linguistic Integration:</w:t>
      </w:r>
      <w:r>
        <w:t xml:space="preserve"> </w:t>
      </w:r>
      <w:r>
        <w:t xml:space="preserve">The ability to communicate clearly with Uzbek sales teams in both English and Uzbek (e.g., translating sales data requests from "sotuvchilar" – sellers – during regional market visits) is vital for accurate Sales Report input directly from Tashkent's commercial districts.</w:t>
      </w:r>
    </w:p>
    <w:p>
      <w:pPr>
        <w:numPr>
          <w:ilvl w:val="0"/>
          <w:numId w:val="1002"/>
        </w:numPr>
        <w:pStyle w:val="Compact"/>
      </w:pPr>
      <w:r>
        <w:rPr>
          <w:bCs/>
          <w:b/>
        </w:rPr>
        <w:t xml:space="preserve">Technology Adaptation:</w:t>
      </w:r>
      <w:r>
        <w:t xml:space="preserve"> </w:t>
      </w:r>
      <w:r>
        <w:t xml:space="preserve">Utilizing Uzbekistan-specific tools like the "Uzum" mobile payment platform data integration within the Sales Report process, a standard requirement for businesses operating in Tashkent's urban marketplaces since 2022.</w:t>
      </w:r>
    </w:p>
    <w:bookmarkEnd w:id="23"/>
    <w:bookmarkStart w:id="24" w:name="X9885d1894c64244de9a4fec0763156455aeda36"/>
    <w:p>
      <w:pPr>
        <w:pStyle w:val="Heading2"/>
      </w:pPr>
      <w:r>
        <w:t xml:space="preserve">V. Challenges &amp; Strategic Recommendations for Tashkent Operations</w:t>
      </w:r>
    </w:p>
    <w:p>
      <w:pPr>
        <w:pStyle w:val="FirstParagraph"/>
      </w:pPr>
      <w:r>
        <w:t xml:space="preserve">While Uzbekistan Tashkent shows robust growth, challenges remain:</w:t>
      </w:r>
    </w:p>
    <w:p>
      <w:pPr>
        <w:numPr>
          <w:ilvl w:val="0"/>
          <w:numId w:val="1003"/>
        </w:numPr>
        <w:pStyle w:val="Compact"/>
      </w:pPr>
      <w:r>
        <w:rPr>
          <w:bCs/>
          <w:b/>
        </w:rPr>
        <w:t xml:space="preserve">Regulatory Volatility:</w:t>
      </w:r>
      <w:r>
        <w:t xml:space="preserve"> </w:t>
      </w:r>
      <w:r>
        <w:t xml:space="preserve">Frequent updates to Uzbekistan's tax laws (e.g., new e-commerce VAT rules) require the Accountant to rapidly update Sales Report templates. Recommendation: Allocate dedicated training hours monthly for Accountant compliance workshops in Tashkent.</w:t>
      </w:r>
    </w:p>
    <w:p>
      <w:pPr>
        <w:numPr>
          <w:ilvl w:val="0"/>
          <w:numId w:val="1003"/>
        </w:numPr>
        <w:pStyle w:val="Compact"/>
      </w:pPr>
      <w:r>
        <w:rPr>
          <w:bCs/>
          <w:b/>
        </w:rPr>
        <w:t xml:space="preserve">Data Silos:</w:t>
      </w:r>
      <w:r>
        <w:t xml:space="preserve"> </w:t>
      </w:r>
      <w:r>
        <w:t xml:space="preserve">Sales data sometimes originates from disparate sources across Uzbekistan's regions. Recommendation: Implement a unified cloud-based accounting platform accessible to the Tashkent Accountant, ensuring seamless integration of all regional sales data into one cohesive Sales Report.</w:t>
      </w:r>
    </w:p>
    <w:p>
      <w:pPr>
        <w:numPr>
          <w:ilvl w:val="0"/>
          <w:numId w:val="1003"/>
        </w:numPr>
        <w:pStyle w:val="Compact"/>
      </w:pPr>
      <w:r>
        <w:rPr>
          <w:bCs/>
          <w:b/>
        </w:rPr>
        <w:t xml:space="preserve">Talent Development:</w:t>
      </w:r>
      <w:r>
        <w:t xml:space="preserve"> </w:t>
      </w:r>
      <w:r>
        <w:t xml:space="preserve">Attracting Accountants fluent in both Uzbekistan financial regulations and English is competitive in Tashkent. Recommendation: Partner with Tashkent State University's Accounting Department for targeted recruitment, emphasizing the pivotal role of the Accountant in our Sales Report ecosystem.</w:t>
      </w:r>
    </w:p>
    <w:bookmarkEnd w:id="24"/>
    <w:bookmarkStart w:id="25" w:name="X514a4aa326c4fb7c7e431632363480278af12d0"/>
    <w:p>
      <w:pPr>
        <w:pStyle w:val="Heading2"/>
      </w:pPr>
      <w:r>
        <w:t xml:space="preserve">VI. Conclusion: The Accountant as a Strategic Asset in Uzbekistan Tashkent</w:t>
      </w:r>
    </w:p>
    <w:p>
      <w:pPr>
        <w:pStyle w:val="FirstParagraph"/>
      </w:pPr>
      <w:r>
        <w:t xml:space="preserve">In the dynamic commercial landscape of Uzbekistan Tashkent, the Accountant is far more than a number-cruncher; they are the guardian of sales data integrity and compliance. Every Sales Report generated from our Tashkent office must reflect not just financial performance, but adherence to Uzbekistan's evolving legal framework. The accuracy of these reports directly influences investment decisions by headquarters, tax obligations to the Uzbek government, and trust within Tashkent's business community. Investing in a highly skilled Accountant – one deeply embedded in Uzbekistan's regulatory context and proficient in modern Sales Reporting systems – is not merely an operational necessity; it is the cornerstone of sustainable growth for our enterprise within Uzbekistan Tashkent. We project that continued focus on Accountant development will drive a further 15% improvement in Sales Report efficiency and compliance within the next fiscal year, solidifying our position as a trusted business partner across Uzbekistan.</w:t>
      </w:r>
    </w:p>
    <w:p>
      <w:pPr>
        <w:pStyle w:val="BodyText"/>
      </w:pPr>
      <w:r>
        <w:rPr>
          <w:bCs/>
          <w:b/>
        </w:rPr>
        <w:t xml:space="preserve">Report End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Position - Tashkent, Uzbekistan</dc:title>
  <dc:creator/>
  <dc:language>en</dc:language>
  <cp:keywords/>
  <dcterms:created xsi:type="dcterms:W3CDTF">2026-07-23T18:06:08Z</dcterms:created>
  <dcterms:modified xsi:type="dcterms:W3CDTF">2026-07-23T18:06:08Z</dcterms:modified>
</cp:coreProperties>
</file>

<file path=docProps/custom.xml><?xml version="1.0" encoding="utf-8"?>
<Properties xmlns="http://schemas.openxmlformats.org/officeDocument/2006/custom-properties" xmlns:vt="http://schemas.openxmlformats.org/officeDocument/2006/docPropsVTypes"/>
</file>