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for</w:t>
      </w:r>
      <w:r>
        <w:t xml:space="preserve"> </w:t>
      </w:r>
      <w:r>
        <w:t xml:space="preserve">Accountant</w:t>
      </w:r>
      <w:r>
        <w:t xml:space="preserve"> </w:t>
      </w:r>
      <w:r>
        <w:t xml:space="preserve">-</w:t>
      </w:r>
      <w:r>
        <w:t xml:space="preserve"> </w:t>
      </w:r>
      <w:r>
        <w:t xml:space="preserve">Venezuela</w:t>
      </w:r>
      <w:r>
        <w:t xml:space="preserve"> </w:t>
      </w:r>
      <w:r>
        <w:t xml:space="preserve">Caracas</w:t>
      </w:r>
    </w:p>
    <w:bookmarkStart w:id="27" w:name="X5508a51c381432762e598af43e5e009efb5d507"/>
    <w:p>
      <w:pPr>
        <w:pStyle w:val="Heading1"/>
      </w:pPr>
      <w:r>
        <w:t xml:space="preserve">Comprehensive Monthly Sales Performance Report: Accountant Perspective in Venezuela Caracas</w:t>
      </w:r>
    </w:p>
    <w:p>
      <w:pPr>
        <w:pStyle w:val="FirstParagraph"/>
      </w:pPr>
      <w:r>
        <w:rPr>
          <w:bCs/>
          <w:b/>
        </w:rPr>
        <w:t xml:space="preserve">Prepared For:</w:t>
      </w:r>
      <w:r>
        <w:t xml:space="preserve"> </w:t>
      </w:r>
      <w:r>
        <w:t xml:space="preserve">Executive Management &amp; Finance Department</w:t>
      </w:r>
      <w:r>
        <w:br/>
      </w:r>
      <w:r>
        <w:rPr>
          <w:bCs/>
          <w:b/>
        </w:rPr>
        <w:t xml:space="preserve">Date:</w:t>
      </w:r>
      <w:r>
        <w:t xml:space="preserve"> </w:t>
      </w:r>
      <w:r>
        <w:t xml:space="preserve">October 26, 2023</w:t>
      </w:r>
      <w:r>
        <w:br/>
      </w:r>
      <w:r>
        <w:rPr>
          <w:bCs/>
          <w:b/>
        </w:rPr>
        <w:t xml:space="preserve">Prepared By:</w:t>
      </w:r>
      <w:r>
        <w:t xml:space="preserve"> </w:t>
      </w:r>
      <w:r>
        <w:t xml:space="preserve">[Your Name], Senior Accountant, Caracas Operations</w:t>
      </w:r>
      <w:r>
        <w:br/>
      </w:r>
      <w:r>
        <w:rPr>
          <w:bCs/>
          <w:b/>
        </w:rPr>
        <w:t xml:space="preserve">Report Period:</w:t>
      </w:r>
      <w:r>
        <w:t xml:space="preserve"> </w:t>
      </w:r>
      <w:r>
        <w:t xml:space="preserve">September 1 - September 30, 2023</w:t>
      </w:r>
    </w:p>
    <w:bookmarkStart w:id="20" w:name="i.-executive-summary"/>
    <w:p>
      <w:pPr>
        <w:pStyle w:val="Heading2"/>
      </w:pPr>
      <w:r>
        <w:t xml:space="preserve">I. Executive Summary</w:t>
      </w:r>
    </w:p>
    <w:p>
      <w:pPr>
        <w:pStyle w:val="FirstParagraph"/>
      </w:pPr>
      <w:r>
        <w:t xml:space="preserve">This Sales Report details the financial performance of our Caracas operations during September 2023, presented through the critical lens of an experienced Accountant operating within Venezuela's complex economic landscape. As a vital financial steward in Venezuela Caracas, this report transcends standard accounting practices to address hyperinflationary pressures, currency volatility, and local regulatory nuances. Despite challenging conditions prevalent across Venezuela Caracas—marked by persistent currency devaluation and supply chain disruptions—the sales team achieved a 12% month-over-month revenue increase. This success underscores the indispensable role of proactive accounting oversight in navigating Venezuela's volatile market environment.</w:t>
      </w:r>
    </w:p>
    <w:bookmarkEnd w:id="20"/>
    <w:bookmarkStart w:id="21" w:name="Xf2ebba781b51aeec0ccf4656cde3892e8fae7e5"/>
    <w:p>
      <w:pPr>
        <w:pStyle w:val="Heading2"/>
      </w:pPr>
      <w:r>
        <w:t xml:space="preserve">II. Key Sales Performance Metrics (Venezuela Caracas Context)</w:t>
      </w:r>
    </w:p>
    <w:p>
      <w:pPr>
        <w:pStyle w:val="FirstParagraph"/>
      </w:pPr>
      <w:r>
        <w:t xml:space="preserve">Indicator</w:t>
      </w:r>
    </w:p>
    <w:p>
      <w:pPr>
        <w:pStyle w:val="BodyText"/>
      </w:pPr>
      <w:r>
        <w:t xml:space="preserve">Sales Result (VES)</w:t>
      </w:r>
    </w:p>
    <w:p>
      <w:pPr>
        <w:pStyle w:val="BodyText"/>
      </w:pPr>
      <w:r>
        <w:t xml:space="preserve">vs. Previous Month</w:t>
      </w:r>
    </w:p>
    <w:p>
      <w:pPr>
        <w:pStyle w:val="BodyText"/>
      </w:pPr>
      <w:r>
        <w:t xml:space="preserve">vs. Target</w:t>
      </w:r>
    </w:p>
    <w:p>
      <w:pPr>
        <w:pStyle w:val="BodyText"/>
      </w:pPr>
      <w:r>
        <w:t xml:space="preserve">Total Revenue</w:t>
      </w:r>
    </w:p>
    <w:p>
      <w:pPr>
        <w:pStyle w:val="BodyText"/>
      </w:pPr>
      <w:r>
        <w:t xml:space="preserve">VES 42,850,000</w:t>
      </w:r>
    </w:p>
    <w:p>
      <w:pPr>
        <w:pStyle w:val="BodyText"/>
      </w:pPr>
      <w:r>
        <w:t xml:space="preserve">+12.3%</w:t>
      </w:r>
    </w:p>
    <w:p>
      <w:pPr>
        <w:pStyle w:val="BodyText"/>
      </w:pPr>
      <w:r>
        <w:t xml:space="preserve">+8.7%</w:t>
      </w:r>
    </w:p>
    <w:p>
      <w:pPr>
        <w:pStyle w:val="BodyText"/>
      </w:pPr>
      <w:r>
        <w:t xml:space="preserve">Product A Sales</w:t>
      </w:r>
    </w:p>
    <w:p>
      <w:pPr>
        <w:pStyle w:val="BodyText"/>
      </w:pPr>
      <w:r>
        <w:t xml:space="preserve">&lt;</w:t>
      </w:r>
    </w:p>
    <w:p>
      <w:pPr>
        <w:pStyle w:val="BodyText"/>
      </w:pPr>
      <w:r>
        <w:t xml:space="preserve">VES 18,200,000</w:t>
      </w:r>
    </w:p>
    <w:p>
      <w:pPr>
        <w:pStyle w:val="BodyText"/>
      </w:pPr>
      <w:r>
        <w:t xml:space="preserve">+9.1%</w:t>
      </w:r>
    </w:p>
    <w:p>
      <w:pPr>
        <w:pStyle w:val="BodyText"/>
      </w:pPr>
      <w:r>
        <w:t xml:space="preserve">+5.2%</w:t>
      </w:r>
    </w:p>
    <w:p>
      <w:pPr>
        <w:pStyle w:val="BodyText"/>
      </w:pPr>
      <w:r>
        <w:t xml:space="preserve">Product B Sales</w:t>
      </w:r>
    </w:p>
    <w:p>
      <w:pPr>
        <w:pStyle w:val="BodyText"/>
      </w:pPr>
      <w:r>
        <w:t xml:space="preserve">VES 14,650,000+18.7%+12.4%</w:t>
      </w:r>
      <w:r>
        <w:br/>
      </w:r>
    </w:p>
    <w:p>
      <w:pPr>
        <w:pStyle w:val="BodyText"/>
      </w:pPr>
      <w:r>
        <w:t xml:space="preserve">Gross Profit Margin</w:t>
      </w:r>
    </w:p>
    <w:p>
      <w:pPr>
        <w:pStyle w:val="BodyText"/>
      </w:pPr>
      <w:r>
        <w:t xml:space="preserve">38.6%</w:t>
      </w:r>
    </w:p>
    <w:p>
      <w:pPr>
        <w:pStyle w:val="BodyText"/>
      </w:pPr>
      <w:r>
        <w:t xml:space="preserve">+2.1% pts</w:t>
      </w:r>
    </w:p>
    <w:p>
      <w:pPr>
        <w:pStyle w:val="BodyText"/>
      </w:pPr>
      <w:r>
        <w:t xml:space="preserve">+0.9% pts</w:t>
      </w:r>
    </w:p>
    <w:p>
      <w:pPr>
        <w:pStyle w:val="BodyText"/>
      </w:pPr>
      <w:r>
        <w:rPr>
          <w:bCs/>
          <w:b/>
        </w:rPr>
        <w:t xml:space="preserve">Accountant's Insight:</w:t>
      </w:r>
      <w:r>
        <w:t xml:space="preserve"> </w:t>
      </w:r>
      <w:r>
        <w:t xml:space="preserve">The 12.3% revenue growth in Venezuela Caracas outpaces the national average of 7.8%, attributed to our strategic pivot toward high-margin Product B—a decision validated through rigorous cost-benefit analysis conducted by our Caracas-based Accountant team. This performance directly demonstrates how accounting insights drive sales strategy in volatile markets.</w:t>
      </w:r>
    </w:p>
    <w:bookmarkEnd w:id="21"/>
    <w:bookmarkStart w:id="22" w:name="Xa928f3d57ebe4962d6498b689855629c5822edd"/>
    <w:p>
      <w:pPr>
        <w:pStyle w:val="Heading2"/>
      </w:pPr>
      <w:r>
        <w:t xml:space="preserve">III. Economic Context Analysis: Venezuela Caracas Challenges</w:t>
      </w:r>
    </w:p>
    <w:p>
      <w:pPr>
        <w:pStyle w:val="FirstParagraph"/>
      </w:pPr>
      <w:r>
        <w:t xml:space="preserve">Operating as an Accountant in Venezuela Caracas demands constant adaptation to unique macroeconomic pressures:</w:t>
      </w:r>
    </w:p>
    <w:p>
      <w:pPr>
        <w:numPr>
          <w:ilvl w:val="0"/>
          <w:numId w:val="1001"/>
        </w:numPr>
        <w:pStyle w:val="Compact"/>
      </w:pPr>
      <w:r>
        <w:rPr>
          <w:bCs/>
          <w:b/>
        </w:rPr>
        <w:t xml:space="preserve">Currency Instability:</w:t>
      </w:r>
      <w:r>
        <w:t xml:space="preserve"> </w:t>
      </w:r>
      <w:r>
        <w:t xml:space="preserve">The 37% annual devaluation of the Venezuelan bolívar (VES) during Q3 impacted sales valuation. Our Accountant team implemented real-time exchange rate adjustments using the official DIFC rate, preventing a 15.2% revenue distortion.</w:t>
      </w:r>
    </w:p>
    <w:p>
      <w:pPr>
        <w:numPr>
          <w:ilvl w:val="0"/>
          <w:numId w:val="1001"/>
        </w:numPr>
        <w:pStyle w:val="Compact"/>
      </w:pPr>
      <w:r>
        <w:rPr>
          <w:bCs/>
          <w:b/>
        </w:rPr>
        <w:t xml:space="preserve">Hyperinflation:</w:t>
      </w:r>
      <w:r>
        <w:t xml:space="preserve"> </w:t>
      </w:r>
      <w:r>
        <w:t xml:space="preserve">With inflation at 84.8% annually (IMF, Sept 2023), our Accountant department established weekly price recalibration protocols for all sales contracts to maintain profitability—critical for sustained operations in Venezuela Caracas.</w:t>
      </w:r>
    </w:p>
    <w:p>
      <w:pPr>
        <w:numPr>
          <w:ilvl w:val="0"/>
          <w:numId w:val="1001"/>
        </w:numPr>
        <w:pStyle w:val="Compact"/>
      </w:pPr>
      <w:r>
        <w:rPr>
          <w:bCs/>
          <w:b/>
        </w:rPr>
        <w:t xml:space="preserve">Regulatory Compliance:</w:t>
      </w:r>
      <w:r>
        <w:t xml:space="preserve"> </w:t>
      </w:r>
      <w:r>
        <w:t xml:space="preserve">Navigating the new "Ley de Cuentas de Resultados" (Decree 4190) required our Accountant team to reconfigure all sales reporting templates within 72 hours of enactment, ensuring full compliance for Venezuela Caracas operations.</w:t>
      </w:r>
    </w:p>
    <w:bookmarkEnd w:id="22"/>
    <w:bookmarkStart w:id="23" w:name="X13a43ba09f49b9973ccd570bad3687a5f20dc31"/>
    <w:p>
      <w:pPr>
        <w:pStyle w:val="Heading2"/>
      </w:pPr>
      <w:r>
        <w:t xml:space="preserve">IV. Sales Report Breakdown: Accountant's Critical Observations</w:t>
      </w:r>
    </w:p>
    <w:p>
      <w:pPr>
        <w:pStyle w:val="FirstParagraph"/>
      </w:pPr>
      <w:r>
        <w:t xml:space="preserve">This Sales Report highlights two pivotal insights from the Accountant perspective:</w:t>
      </w:r>
    </w:p>
    <w:p>
      <w:pPr>
        <w:numPr>
          <w:ilvl w:val="0"/>
          <w:numId w:val="1002"/>
        </w:numPr>
        <w:pStyle w:val="Compact"/>
      </w:pPr>
      <w:r>
        <w:rPr>
          <w:bCs/>
          <w:b/>
        </w:rPr>
        <w:t xml:space="preserve">Margin Expansion in Product B:</w:t>
      </w:r>
      <w:r>
        <w:t xml:space="preserve"> </w:t>
      </w:r>
      <w:r>
        <w:t xml:space="preserve">Despite a 14% cost increase for raw materials (due to import restrictions), our Accountant identified an opportunity to optimize packaging, reducing costs by 6.3%. This directly contributed to the 18.7% Product B sales surge in Venezuela Caracas.</w:t>
      </w:r>
    </w:p>
    <w:p>
      <w:pPr>
        <w:numPr>
          <w:ilvl w:val="0"/>
          <w:numId w:val="1002"/>
        </w:numPr>
        <w:pStyle w:val="Compact"/>
      </w:pPr>
      <w:r>
        <w:rPr>
          <w:bCs/>
          <w:b/>
        </w:rPr>
        <w:t xml:space="preserve">Customer Payment Delays:</w:t>
      </w:r>
      <w:r>
        <w:t xml:space="preserve"> </w:t>
      </w:r>
      <w:r>
        <w:t xml:space="preserve">A 22% increase in late payments (vs. August) was flagged immediately by our Accountant team through real-time accounts receivable analysis. We implemented a new payment term tiering system, recovering 37% of overdue invoices within two weeks.</w:t>
      </w:r>
    </w:p>
    <w:bookmarkEnd w:id="23"/>
    <w:bookmarkStart w:id="24" w:name="X8871169964d557faa615386d2fc6e1927fe9872"/>
    <w:p>
      <w:pPr>
        <w:pStyle w:val="Heading2"/>
      </w:pPr>
      <w:r>
        <w:t xml:space="preserve">V. Venezuela Caracas-Specific Recommendations</w:t>
      </w:r>
    </w:p>
    <w:p>
      <w:pPr>
        <w:pStyle w:val="FirstParagraph"/>
      </w:pPr>
      <w:r>
        <w:t xml:space="preserve">Based on this Sales Report and our Accountant's financial assessment, we propose:</w:t>
      </w:r>
    </w:p>
    <w:p>
      <w:pPr>
        <w:numPr>
          <w:ilvl w:val="0"/>
          <w:numId w:val="1003"/>
        </w:numPr>
        <w:pStyle w:val="Compact"/>
      </w:pPr>
      <w:r>
        <w:rPr>
          <w:bCs/>
          <w:b/>
        </w:rPr>
        <w:t xml:space="preserve">Adopt Dynamic Pricing for Venezuela Caracas:</w:t>
      </w:r>
      <w:r>
        <w:t xml:space="preserve"> </w:t>
      </w:r>
      <w:r>
        <w:t xml:space="preserve">Introduce a 15% monthly price adjustment clause in all contracts to counteract inflation—validated by Accountant models showing 23% higher profitability under this structure.</w:t>
      </w:r>
    </w:p>
    <w:p>
      <w:pPr>
        <w:numPr>
          <w:ilvl w:val="0"/>
          <w:numId w:val="1003"/>
        </w:numPr>
        <w:pStyle w:val="Compact"/>
      </w:pPr>
      <w:r>
        <w:rPr>
          <w:bCs/>
          <w:b/>
        </w:rPr>
        <w:t xml:space="preserve">Localize Supply Chain:</w:t>
      </w:r>
      <w:r>
        <w:t xml:space="preserve"> </w:t>
      </w:r>
      <w:r>
        <w:t xml:space="preserve">Redirect 40% of imports to Venezuelan suppliers (identified through our Accountant's supplier cost analysis) to reduce USD dependency. Estimated savings: $185,000 monthly in forex costs for Venezuela Caracas operations.</w:t>
      </w:r>
    </w:p>
    <w:p>
      <w:pPr>
        <w:numPr>
          <w:ilvl w:val="0"/>
          <w:numId w:val="1003"/>
        </w:numPr>
        <w:pStyle w:val="Compact"/>
      </w:pPr>
      <w:r>
        <w:rPr>
          <w:bCs/>
          <w:b/>
        </w:rPr>
        <w:t xml:space="preserve">Enhanced Cash Flow Forecasting:</w:t>
      </w:r>
      <w:r>
        <w:t xml:space="preserve"> </w:t>
      </w:r>
      <w:r>
        <w:t xml:space="preserve">Implement bi-weekly cash flow simulations using updated inflation metrics—critical for an Accountant managing daily liquidity in Venezuela's unstable environment.</w:t>
      </w:r>
    </w:p>
    <w:bookmarkEnd w:id="24"/>
    <w:bookmarkStart w:id="25" w:name="X4cf58830a6addfeecbceb6f19b33401df37825c"/>
    <w:p>
      <w:pPr>
        <w:pStyle w:val="Heading2"/>
      </w:pPr>
      <w:r>
        <w:t xml:space="preserve">VI. Conclusion: The Accountant as Strategic Partner in Venezuela Caracas</w:t>
      </w:r>
    </w:p>
    <w:p>
      <w:pPr>
        <w:pStyle w:val="FirstParagraph"/>
      </w:pPr>
      <w:r>
        <w:t xml:space="preserve">This Sales Report unequivocally demonstrates that an adept Accountant is not merely a financial recorder but the strategic engine driving sustainable growth in Venezuela Caracas. In an economy where currency fluctuations can erase profits overnight, our Accountant's daily interventions—revenue recalculation, compliance adaptation, and margin optimization—are non-negotiable for survival. The 12% sales growth achieved this month would have been impossible without the Accountant's proactive analysis of Venezuela's unique economic variables.</w:t>
      </w:r>
    </w:p>
    <w:p>
      <w:pPr>
        <w:pStyle w:val="BodyText"/>
      </w:pPr>
      <w:r>
        <w:t xml:space="preserve">As we navigate the complex financial ecosystem of Venezuela Caracas, this Sales Report serves as both a performance record and a roadmap. It validates that when Accountants operate with deep market understanding—integrating hyperinflation metrics, regulatory changes, and local purchasing power into every sales decision—the entire organization thrives even in challenging conditions. The success of our September sales isn't just about revenue; it's a testament to how financial stewardship empowers growth in Venezuela's most demanding markets.</w:t>
      </w:r>
    </w:p>
    <w:p>
      <w:pPr>
        <w:pStyle w:val="BodyText"/>
      </w:pPr>
      <w:r>
        <w:rPr>
          <w:bCs/>
          <w:b/>
        </w:rPr>
        <w:t xml:space="preserve">Final Note:</w:t>
      </w:r>
      <w:r>
        <w:t xml:space="preserve"> </w:t>
      </w:r>
      <w:r>
        <w:t xml:space="preserve">For ongoing relevance, all future Sales Reports for Venezuela Caracas operations will incorporate real-time inflation indexes and DIFC exchange rates as mandatory accounting parameters—ensuring our Accountant team remains at the forefront of financial agility in this dynamic market.</w:t>
      </w:r>
    </w:p>
    <w:bookmarkEnd w:id="25"/>
    <w:bookmarkStart w:id="26" w:name="vii.-attachments"/>
    <w:p>
      <w:pPr>
        <w:pStyle w:val="Heading2"/>
      </w:pPr>
      <w:r>
        <w:t xml:space="preserve">VII. Attachments</w:t>
      </w:r>
    </w:p>
    <w:p>
      <w:pPr>
        <w:numPr>
          <w:ilvl w:val="0"/>
          <w:numId w:val="1004"/>
        </w:numPr>
        <w:pStyle w:val="Compact"/>
      </w:pPr>
      <w:r>
        <w:t xml:space="preserve">Appendix A: Detailed Sales by Product Category (VES)</w:t>
      </w:r>
    </w:p>
    <w:p>
      <w:pPr>
        <w:numPr>
          <w:ilvl w:val="0"/>
          <w:numId w:val="1004"/>
        </w:numPr>
        <w:pStyle w:val="Compact"/>
      </w:pPr>
      <w:r>
        <w:t xml:space="preserve">Appendix B: Venezuela Caracas Inflation &amp; Currency Fluctuation Analysis (September 2023)</w:t>
      </w:r>
    </w:p>
    <w:p>
      <w:pPr>
        <w:numPr>
          <w:ilvl w:val="0"/>
          <w:numId w:val="1004"/>
        </w:numPr>
        <w:pStyle w:val="Compact"/>
      </w:pPr>
      <w:r>
        <w:t xml:space="preserve">Appendix C: Compliance Checklist for "Ley de Cuentas de Resultados"</w:t>
      </w:r>
    </w:p>
    <w:p>
      <w:pPr>
        <w:pStyle w:val="FirstParagraph"/>
      </w:pPr>
      <w:r>
        <w:rPr>
          <w:iCs/>
          <w:i/>
        </w:rPr>
        <w:t xml:space="preserve">This Sales Report was prepared in strict adherence to Venezuelan accounting standards and local regulatory requirements. All figures reflect the official bolívar (VES) valuation as mandated by Venezuela's National Accounting Council (CNA).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for Accountant - Venezuela Caracas</dc:title>
  <dc:creator/>
  <dc:language>en</dc:language>
  <cp:keywords/>
  <dcterms:created xsi:type="dcterms:W3CDTF">2026-07-23T19:24:50Z</dcterms:created>
  <dcterms:modified xsi:type="dcterms:W3CDTF">2026-07-23T19:24:50Z</dcterms:modified>
</cp:coreProperties>
</file>

<file path=docProps/custom.xml><?xml version="1.0" encoding="utf-8"?>
<Properties xmlns="http://schemas.openxmlformats.org/officeDocument/2006/custom-properties" xmlns:vt="http://schemas.openxmlformats.org/officeDocument/2006/docPropsVTypes"/>
</file>