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Accountant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b809fae42709178ba309c6d93e6aef8db264ff6"/>
    <w:p>
      <w:pPr>
        <w:pStyle w:val="Heading1"/>
      </w:pPr>
      <w:r>
        <w:t xml:space="preserve">Quarterly Sales Performance Report: Accounting Analysis for Ho Chi Minh City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Finance Department</w:t>
      </w:r>
      <w:r>
        <w:br/>
      </w:r>
      <w:r>
        <w:rPr>
          <w:bCs/>
          <w:b/>
        </w:rPr>
        <w:t xml:space="preserve">Prepared By:</w:t>
      </w:r>
      <w:r>
        <w:t xml:space="preserve"> </w:t>
      </w:r>
      <w:r>
        <w:t xml:space="preserve">[Your Name], Senior Accountant</w:t>
      </w:r>
      <w:r>
        <w:br/>
      </w:r>
      <w:r>
        <w:rPr>
          <w:bCs/>
          <w:b/>
        </w:rPr>
        <w:t xml:space="preserve">Coverage Period:</w:t>
      </w:r>
      <w:r>
        <w:t xml:space="preserve"> </w:t>
      </w:r>
      <w:r>
        <w:t xml:space="preserve">Q3 2023 (July 1 - September 30, 2023)</w:t>
      </w:r>
      <w:r>
        <w:br/>
      </w:r>
      <w:r>
        <w:rPr>
          <w:bCs/>
          <w:b/>
        </w:rPr>
        <w:t xml:space="preserve">Location:</w:t>
      </w:r>
      <w:r>
        <w:t xml:space="preserve"> </w:t>
      </w:r>
      <w:r>
        <w:t xml:space="preserve">Ho Chi Minh City, Vietnam</w:t>
      </w:r>
    </w:p>
    <w:bookmarkStart w:id="20" w:name="executive-summary"/>
    <w:p>
      <w:pPr>
        <w:pStyle w:val="Heading2"/>
      </w:pPr>
      <w:r>
        <w:t xml:space="preserve">Executive Summary</w:t>
      </w:r>
    </w:p>
    <w:p>
      <w:pPr>
        <w:pStyle w:val="FirstParagraph"/>
      </w:pPr>
      <w:r>
        <w:t xml:space="preserve">This comprehensive Sales Report provides a detailed financial analysis of our operations across Ho Chi Minh City, Vietnam. As the dedicated Accountant for this high-growth market, I have meticulously evaluated sales performance against KPIs while navigating unique local economic dynamics. The Q3 report reveals a 12.7% year-over-year revenue increase to VND 48.5 billion (≈$2.09 million USD), driven by strategic expansion in the District 1 commercial sector and strong e-commerce partnerships. However, rising operational costs and complex tax compliance requirements in Vietnam have impacted profit margins, which stand at 23.5% versus Q2's 26.1%. This report outlines actionable insights for optimizing sales performance through precise accounting oversight.</w:t>
      </w:r>
    </w:p>
    <w:bookmarkEnd w:id="20"/>
    <w:bookmarkStart w:id="21" w:name="X1f531e06d7f780a193a051cfac3dde863550693"/>
    <w:p>
      <w:pPr>
        <w:pStyle w:val="Heading2"/>
      </w:pPr>
      <w:r>
        <w:t xml:space="preserve">Key Sales Metrics Analysis (Ho Chi Minh City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(VND)</w:t>
            </w:r>
          </w:p>
        </w:tc>
        <w:tc>
          <w:tcPr/>
          <w:p>
            <w:pPr>
              <w:pStyle w:val="Compact"/>
              <w:jc w:val="left"/>
            </w:pPr>
            <w:r>
              <w:t xml:space="preserve">48,500,000,000</w:t>
            </w:r>
          </w:p>
        </w:tc>
        <w:tc>
          <w:tcPr/>
          <w:p>
            <w:pPr>
              <w:pStyle w:val="Compact"/>
              <w:jc w:val="left"/>
            </w:pPr>
            <w:r>
              <w:t xml:space="preserve">43,928,571,429</w:t>
            </w:r>
          </w:p>
        </w:tc>
        <w:tc>
          <w:tcPr/>
          <w:p>
            <w:pPr>
              <w:pStyle w:val="Compact"/>
              <w:jc w:val="left"/>
            </w:pPr>
            <w:r>
              <w:t xml:space="preserve">+12.7%</w:t>
            </w:r>
          </w:p>
        </w:tc>
      </w:tr>
      <w:tr>
        <w:tc>
          <w:tcPr/>
          <w:p>
            <w:pPr>
              <w:pStyle w:val="Compact"/>
              <w:jc w:val="left"/>
            </w:pPr>
            <w:r>
              <w:t xml:space="preserve">Gross Profit Margin</w:t>
            </w:r>
          </w:p>
        </w:tc>
        <w:tc>
          <w:tcPr/>
          <w:p>
            <w:pPr>
              <w:pStyle w:val="Compact"/>
              <w:jc w:val="left"/>
            </w:pPr>
            <w:r>
              <w:t xml:space="preserve">23.5%</w:t>
            </w:r>
          </w:p>
        </w:tc>
        <w:tc>
          <w:tcPr/>
          <w:p>
            <w:pPr>
              <w:pStyle w:val="Compact"/>
              <w:jc w:val="left"/>
            </w:pPr>
            <w:r>
              <w:t xml:space="preserve">26.1%</w:t>
            </w:r>
          </w:p>
        </w:tc>
        <w:tc>
          <w:tcPr/>
          <w:p>
            <w:pPr>
              <w:pStyle w:val="Compact"/>
              <w:jc w:val="left"/>
            </w:pPr>
            <w:r>
              <w:t xml:space="preserve">-2.6 pts</w:t>
            </w:r>
          </w:p>
        </w:tc>
      </w:tr>
      <w:tr>
        <w:tc>
          <w:tcPr/>
          <w:p>
            <w:pPr>
              <w:pStyle w:val="Compact"/>
              <w:jc w:val="left"/>
            </w:pPr>
            <w:r>
              <w:t xml:space="preserve">New Client Acquisition</w:t>
            </w:r>
          </w:p>
        </w:tc>
        <w:tc>
          <w:tcPr/>
          <w:p>
            <w:pPr>
              <w:pStyle w:val="Compact"/>
              <w:jc w:val="left"/>
            </w:pPr>
            <w:r>
              <w:t xml:space="preserve">47 clients</w:t>
            </w:r>
          </w:p>
        </w:tc>
        <w:tc>
          <w:tcPr/>
          <w:p>
            <w:pPr>
              <w:pStyle w:val="Compact"/>
              <w:jc w:val="left"/>
            </w:pPr>
            <w:r>
              <w:t xml:space="preserve">38 clients</w:t>
            </w:r>
          </w:p>
        </w:tc>
        <w:tc>
          <w:tcPr/>
          <w:p>
            <w:pPr>
              <w:pStyle w:val="Compact"/>
              <w:jc w:val="left"/>
            </w:pPr>
            <w:r>
              <w:t xml:space="preserve">+23.7%</w:t>
            </w:r>
          </w:p>
        </w:tc>
      </w:tr>
      <w:tr>
        <w:tc>
          <w:tcPr/>
          <w:p>
            <w:pPr>
              <w:pStyle w:val="Compact"/>
              <w:jc w:val="left"/>
            </w:pPr>
            <w:r>
              <w:t xml:space="preserve">Top-Performing Districts</w:t>
            </w:r>
          </w:p>
        </w:tc>
        <w:tc>
          <w:tcPr/>
          <w:p>
            <w:pPr>
              <w:pStyle w:val="Compact"/>
              <w:jc w:val="left"/>
            </w:pPr>
            <w:r>
              <w:t xml:space="preserve">District 1 (42%), District 7 (28%)</w:t>
            </w:r>
          </w:p>
        </w:tc>
        <w:tc>
          <w:tcPr/>
          <w:p>
            <w:pPr>
              <w:pStyle w:val="Compact"/>
              <w:jc w:val="left"/>
            </w:pPr>
            <w:r>
              <w:t xml:space="preserve">District 1 (39%), District 5 (30%)</w:t>
            </w:r>
          </w:p>
        </w:tc>
        <w:tc>
          <w:tcPr/>
          <w:p>
            <w:pPr>
              <w:pStyle w:val="Compact"/>
              <w:jc w:val="left"/>
            </w:pPr>
            <w:r>
              <w:t xml:space="preserve">Shift to modern commercial hubs</w:t>
            </w:r>
          </w:p>
        </w:tc>
      </w:tr>
    </w:tbl>
    <w:bookmarkEnd w:id="21"/>
    <w:bookmarkStart w:id="22" w:name="X5d2d44d53987b23018109c6067354da0f91738f"/>
    <w:p>
      <w:pPr>
        <w:pStyle w:val="Heading2"/>
      </w:pPr>
      <w:r>
        <w:t xml:space="preserve">Accountant's Financial Assessment: Local Market Nuances in Vietnam Ho Chi Minh City</w:t>
      </w:r>
    </w:p>
    <w:p>
      <w:pPr>
        <w:pStyle w:val="FirstParagraph"/>
      </w:pPr>
      <w:r>
        <w:t xml:space="preserve">As the primary Accountant responsible for financial reporting in Ho Chi Minh City, I've identified critical factors shaping sales outcomes:</w:t>
      </w:r>
    </w:p>
    <w:p>
      <w:pPr>
        <w:numPr>
          <w:ilvl w:val="0"/>
          <w:numId w:val="1001"/>
        </w:numPr>
        <w:pStyle w:val="Compact"/>
      </w:pPr>
      <w:r>
        <w:rPr>
          <w:bCs/>
          <w:b/>
        </w:rPr>
        <w:t xml:space="preserve">VAT Compliance Challenges:</w:t>
      </w:r>
      <w:r>
        <w:t xml:space="preserve"> </w:t>
      </w:r>
      <w:r>
        <w:t xml:space="preserve">Recent 10% VAT rate adjustment (effective July 1, 2023) caused temporary customer hesitation. My team implemented real-time invoice reconfiguration across all HCMC branches, minimizing revenue leakage by tracking VAT-exempt transactions for export-oriented clients (e.g., FDI manufacturing firms in Thu Duc City).</w:t>
      </w:r>
    </w:p>
    <w:p>
      <w:pPr>
        <w:numPr>
          <w:ilvl w:val="0"/>
          <w:numId w:val="1001"/>
        </w:numPr>
        <w:pStyle w:val="Compact"/>
      </w:pPr>
      <w:r>
        <w:rPr>
          <w:bCs/>
          <w:b/>
        </w:rPr>
        <w:t xml:space="preserve">Local Cost Drivers:</w:t>
      </w:r>
      <w:r>
        <w:t xml:space="preserve"> </w:t>
      </w:r>
      <w:r>
        <w:t xml:space="preserve">Utility expenses surged 18% due to heatwave conditions affecting District 3 warehouses. Through cost-optimization analysis, we renegotiated energy contracts with EVN Ho Chi Minh City, saving VND 620 million quarterly.</w:t>
      </w:r>
    </w:p>
    <w:p>
      <w:pPr>
        <w:numPr>
          <w:ilvl w:val="0"/>
          <w:numId w:val="1001"/>
        </w:numPr>
        <w:pStyle w:val="Compact"/>
      </w:pPr>
      <w:r>
        <w:rPr>
          <w:bCs/>
          <w:b/>
        </w:rPr>
        <w:t xml:space="preserve">Currency Fluctuations:</w:t>
      </w:r>
      <w:r>
        <w:t xml:space="preserve"> </w:t>
      </w:r>
      <w:r>
        <w:t xml:space="preserve">USD/VND volatility (750–765 range) impacted cross-border sales. As Accountant, I deployed forward contracts for 35% of Q4 export revenue, protecting projected profits by 9.2%.</w:t>
      </w:r>
    </w:p>
    <w:bookmarkEnd w:id="22"/>
    <w:bookmarkStart w:id="23" w:name="Xe6e49144d530dc33d5c90259618c585f438956d"/>
    <w:p>
      <w:pPr>
        <w:pStyle w:val="Heading2"/>
      </w:pPr>
      <w:r>
        <w:t xml:space="preserve">Sales Report Insights: District-Level Performance Breakdown</w:t>
      </w:r>
    </w:p>
    <w:p>
      <w:pPr>
        <w:pStyle w:val="FirstParagraph"/>
      </w:pPr>
      <w:r>
        <w:rPr>
          <w:bCs/>
          <w:b/>
        </w:rPr>
        <w:t xml:space="preserve">District 1 (Financial District):</w:t>
      </w:r>
      <w:r>
        <w:t xml:space="preserve"> </w:t>
      </w:r>
      <w:r>
        <w:t xml:space="preserve">Generated the highest revenue (VND 20.4 billion) through premium service packages for multinational corporations. Accountant's analysis revealed 68% of sales came from clients registered under Vietnam's FDI regulations, requiring meticulous documentation per Decree No. 134/2023/ND-CP.</w:t>
      </w:r>
    </w:p>
    <w:p>
      <w:pPr>
        <w:pStyle w:val="BodyText"/>
      </w:pPr>
      <w:r>
        <w:rPr>
          <w:bCs/>
          <w:b/>
        </w:rPr>
        <w:t xml:space="preserve">District 7 (Binh Thanh &amp; Thu Duc):</w:t>
      </w:r>
      <w:r>
        <w:t xml:space="preserve"> </w:t>
      </w:r>
      <w:r>
        <w:t xml:space="preserve">E-commerce partnerships drove 28% of HCMC sales. My financial modeling identified a critical gap in inventory turnover – we're now implementing AI-powered demand forecasting using historical sales data from this district, projected to reduce stockouts by 30%.</w:t>
      </w:r>
    </w:p>
    <w:p>
      <w:pPr>
        <w:pStyle w:val="BodyText"/>
      </w:pPr>
      <w:r>
        <w:rPr>
          <w:bCs/>
          <w:b/>
        </w:rPr>
        <w:t xml:space="preserve">District 5 (Wholesale Hub):</w:t>
      </w:r>
      <w:r>
        <w:t xml:space="preserve"> </w:t>
      </w:r>
      <w:r>
        <w:t xml:space="preserve">Despite strong volume (VND 13.6 billion), profit margins were lowest (18.7%) due to high discounting for bulk buyers. As Accountant, I recommended a tiered pricing model aligned with Vietnam's Enterprise Law Article 24, which will be piloted in Q4.</w:t>
      </w:r>
    </w:p>
    <w:bookmarkEnd w:id="23"/>
    <w:bookmarkStart w:id="24" w:name="X8dffd0fce12c76eb29c8f06050031ae5e27de71"/>
    <w:p>
      <w:pPr>
        <w:pStyle w:val="Heading2"/>
      </w:pPr>
      <w:r>
        <w:t xml:space="preserve">Strategic Recommendations from the Accountant's Perspective</w:t>
      </w:r>
    </w:p>
    <w:p>
      <w:pPr>
        <w:numPr>
          <w:ilvl w:val="0"/>
          <w:numId w:val="1002"/>
        </w:numPr>
        <w:pStyle w:val="Compact"/>
      </w:pPr>
      <w:r>
        <w:rPr>
          <w:bCs/>
          <w:b/>
        </w:rPr>
        <w:t xml:space="preserve">Automate VAT Reconciliation:</w:t>
      </w:r>
      <w:r>
        <w:t xml:space="preserve"> </w:t>
      </w:r>
      <w:r>
        <w:t xml:space="preserve">Implement cloud-based accounting software (e.g., MISA) integrated with Vietnam's General Department of Taxation portal. This will reduce manual errors by 40% and accelerate tax filing for our Ho Chi Minh City operations.</w:t>
      </w:r>
    </w:p>
    <w:p>
      <w:pPr>
        <w:numPr>
          <w:ilvl w:val="0"/>
          <w:numId w:val="1002"/>
        </w:numPr>
        <w:pStyle w:val="Compact"/>
      </w:pPr>
      <w:r>
        <w:rPr>
          <w:bCs/>
          <w:b/>
        </w:rPr>
        <w:t xml:space="preserve">Tax-Efficient Expansion:</w:t>
      </w:r>
      <w:r>
        <w:t xml:space="preserve"> </w:t>
      </w:r>
      <w:r>
        <w:t xml:space="preserve">Target District 2 and Go Vap for new client acquisition – these areas offer preferential tax treatment under Ho Chi Minh City's 2030 Economic Development Plan. My analysis shows potential 15% lower operational costs versus Districts 1 &amp; 7.</w:t>
      </w:r>
    </w:p>
    <w:p>
      <w:pPr>
        <w:numPr>
          <w:ilvl w:val="0"/>
          <w:numId w:val="1002"/>
        </w:numPr>
        <w:pStyle w:val="Compact"/>
      </w:pPr>
      <w:r>
        <w:rPr>
          <w:bCs/>
          <w:b/>
        </w:rPr>
        <w:t xml:space="preserve">Client Portfolio Diversification:</w:t>
      </w:r>
      <w:r>
        <w:t xml:space="preserve"> </w:t>
      </w:r>
      <w:r>
        <w:t xml:space="preserve">Reduce dependency on wholesale (currently 48% of revenue). I propose launching a "HCMC SME Support Package" with bundled accounting services at VND 1.5 million/month, leveraging our Accountant team's expertise to attract new clients while improving retention.</w:t>
      </w:r>
    </w:p>
    <w:bookmarkEnd w:id="24"/>
    <w:bookmarkStart w:id="25" w:name="Xd058d8e2ee41d579b3f313f5d1644cd646199f3"/>
    <w:p>
      <w:pPr>
        <w:pStyle w:val="Heading2"/>
      </w:pPr>
      <w:r>
        <w:t xml:space="preserve">Conclusion: Future-Proofing Sales Through Financial Discipline</w:t>
      </w:r>
    </w:p>
    <w:p>
      <w:pPr>
        <w:pStyle w:val="FirstParagraph"/>
      </w:pPr>
      <w:r>
        <w:t xml:space="preserve">This Sales Report underscores that sustainable growth in Vietnam Ho Chi Minh City requires seamless integration between sales strategy and accounting precision. As the Accountant for this market, I've proven that financial oversight directly drives sales outcomes – our recent 12.7% revenue growth was enabled by proactive tax management and cost control measures I implemented.</w:t>
      </w:r>
    </w:p>
    <w:p>
      <w:pPr>
        <w:pStyle w:val="BodyText"/>
      </w:pPr>
      <w:r>
        <w:t xml:space="preserve">Looking ahead, I recommend establishing a dedicated HCMC Sales-Finance Task Force to align quarterly objectives with Vietnam's evolving business regulations. This cross-functional approach will position us to capitalize on Ho Chi Minh City's projected 8.2% GDP growth (World Bank 2023) while maintaining compliance with Vietnamese accounting standards (VAS 1–17). The Accountant role is no longer just about number-crunching; it's the strategic engine for our sales success in one of Southeast Asia's most dynamic markets.</w:t>
      </w:r>
    </w:p>
    <w:p>
      <w:pPr>
        <w:pStyle w:val="BodyText"/>
      </w:pPr>
      <w:r>
        <w:t xml:space="preserve">Next steps include presenting a full financial impact model for the Q4 SME package to Executive Management by November 15, 2023. All data referenced in this Sales Report has been validated against Ho Chi Minh City Department of Statistics and Vietnam General Statistics Office records.</w:t>
      </w:r>
    </w:p>
    <w:p>
      <w:pPr>
        <w:pStyle w:val="BodyText"/>
      </w:pPr>
      <w:r>
        <w:rPr>
          <w:bCs/>
          <w:b/>
        </w:rPr>
        <w:t xml:space="preserve">Accountant's Certification:</w:t>
      </w:r>
      <w:r>
        <w:t xml:space="preserve"> </w:t>
      </w:r>
      <w:r>
        <w:t xml:space="preserve">I attest that all financial figures and market analysis presented comply with Vietnamese Accounting Standards (VAS) and are accurate as of October 25,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Accountant - Ho Chi Minh City Vietnam</dc:title>
  <dc:creator/>
  <dc:language>en</dc:language>
  <cp:keywords/>
  <dcterms:created xsi:type="dcterms:W3CDTF">2025-12-10T00:08:47Z</dcterms:created>
  <dcterms:modified xsi:type="dcterms:W3CDTF">2025-12-10T00:08:47Z</dcterms:modified>
</cp:coreProperties>
</file>

<file path=docProps/custom.xml><?xml version="1.0" encoding="utf-8"?>
<Properties xmlns="http://schemas.openxmlformats.org/officeDocument/2006/custom-properties" xmlns:vt="http://schemas.openxmlformats.org/officeDocument/2006/docPropsVTypes"/>
</file>