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Córdoba</w:t>
      </w:r>
      <w:r>
        <w:t xml:space="preserve"> </w:t>
      </w:r>
      <w:r>
        <w:t xml:space="preserve">Market</w:t>
      </w:r>
    </w:p>
    <w:bookmarkStart w:id="34" w:name="X0bd360ecad3fc99540a41faaa1e6de1ffd052d0"/>
    <w:p>
      <w:pPr>
        <w:pStyle w:val="Heading1"/>
      </w:pPr>
      <w:r>
        <w:t xml:space="preserve">Sales Report: Actor Corporation's Strategic Growth in Argentina Córdoba (Q3 2023)</w:t>
      </w:r>
    </w:p>
    <w:bookmarkStart w:id="20" w:name="executive-summary"/>
    <w:p>
      <w:pPr>
        <w:pStyle w:val="Heading2"/>
      </w:pPr>
      <w:r>
        <w:t xml:space="preserve">Executive Summary</w:t>
      </w:r>
    </w:p>
    <w:p>
      <w:pPr>
        <w:pStyle w:val="FirstParagraph"/>
      </w:pPr>
      <w:r>
        <w:t xml:space="preserve">This comprehensive Sales Report details the performance of Actor Corporation—a leading manufacturer of premium audio-visual equipment—within the vibrant market of Argentina's Córdoba province. Covering a three-month period from July to September 2023, this document demonstrates remarkable growth in sales velocity, customer acquisition, and market penetration across key sectors including education, corporate enterprise, and entertainment venues throughout Córdoba. Actor has achieved a 37% year-over-year increase in regional sales revenue, solidifying its position as the preferred AV technology partner for businesses operating in Argentina's second-largest economic hub.</w:t>
      </w:r>
    </w:p>
    <w:bookmarkEnd w:id="20"/>
    <w:bookmarkStart w:id="21" w:name="X2cb216f2465d040adea4b3ebbd86e15c457910f"/>
    <w:p>
      <w:pPr>
        <w:pStyle w:val="Heading2"/>
      </w:pPr>
      <w:r>
        <w:t xml:space="preserve">Market Context: Why Argentina Córdoba Matters</w:t>
      </w:r>
    </w:p>
    <w:p>
      <w:pPr>
        <w:pStyle w:val="FirstParagraph"/>
      </w:pPr>
      <w:r>
        <w:t xml:space="preserve">Córdoba represents a critical growth frontier for Actor Corporation within the Argentine market. As Argentina's most populous province outside Buenos Aires and a recognized center of innovation, Córdoba boasts 3.5 million residents with strong purchasing power, over 120 higher education institutions, and a thriving tourism sector. The region's economic diversification—spanning automotive manufacturing (including major Fiat Chrysler plants), agribusiness export hubs, and cutting-edge tech startups—creates ideal conditions for Actor's product portfolio. This Sales Report specifically analyzes how our localized strategy has capitalized on Córdoba's unique market dynamics to drive unprecedented results.</w:t>
      </w:r>
    </w:p>
    <w:bookmarkEnd w:id="21"/>
    <w:bookmarkStart w:id="22" w:name="X8ec69108e521a296f66739201b929571fd0906e"/>
    <w:p>
      <w:pPr>
        <w:pStyle w:val="Heading2"/>
      </w:pPr>
      <w:r>
        <w:t xml:space="preserve">Key Performance Metrics: Actor in Argentina Córdoba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 (Argentina Córdoba)</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$1,854,000 USD</w:t>
            </w:r>
          </w:p>
        </w:tc>
        <w:tc>
          <w:tcPr/>
          <w:p>
            <w:pPr>
              <w:pStyle w:val="Compact"/>
              <w:jc w:val="left"/>
            </w:pPr>
            <w:r>
              <w:t xml:space="preserve">$1,353,000 USD</w:t>
            </w:r>
          </w:p>
        </w:tc>
        <w:tc>
          <w:tcPr/>
          <w:p>
            <w:pPr>
              <w:pStyle w:val="Compact"/>
              <w:jc w:val="left"/>
            </w:pPr>
            <w:r>
              <w:t xml:space="preserve">+37.0%</w:t>
            </w:r>
          </w:p>
        </w:tc>
      </w:tr>
      <w:tr>
        <w:tc>
          <w:tcPr/>
          <w:p>
            <w:pPr>
              <w:pStyle w:val="Compact"/>
              <w:jc w:val="left"/>
            </w:pPr>
            <w:r>
              <w:t xml:space="preserve">Unit Sales Volume</w:t>
            </w:r>
          </w:p>
        </w:tc>
        <w:tc>
          <w:tcPr/>
          <w:p>
            <w:pPr>
              <w:pStyle w:val="Compact"/>
              <w:jc w:val="left"/>
            </w:pPr>
            <w:r>
              <w:t xml:space="preserve">2,148 units</w:t>
            </w:r>
          </w:p>
        </w:tc>
        <w:tc>
          <w:tcPr/>
          <w:p>
            <w:pPr>
              <w:pStyle w:val="Compact"/>
              <w:jc w:val="left"/>
            </w:pPr>
            <w:r>
              <w:t xml:space="preserve">1,567 units</w:t>
            </w:r>
          </w:p>
        </w:tc>
        <w:tc>
          <w:tcPr/>
          <w:p>
            <w:pPr>
              <w:pStyle w:val="Compact"/>
              <w:jc w:val="left"/>
            </w:pPr>
            <w:r>
              <w:t xml:space="preserve">+37.1%</w:t>
            </w:r>
          </w:p>
        </w:tc>
      </w:tr>
      <w:tr>
        <w:tc>
          <w:tcPr/>
          <w:p>
            <w:pPr>
              <w:pStyle w:val="Compact"/>
              <w:jc w:val="left"/>
            </w:pPr>
            <w:r>
              <w:t xml:space="preserve">New Customer Acquisition</w:t>
            </w:r>
          </w:p>
        </w:tc>
        <w:tc>
          <w:tcPr/>
          <w:p>
            <w:pPr>
              <w:pStyle w:val="Compact"/>
              <w:jc w:val="left"/>
            </w:pPr>
            <w:r>
              <w:t xml:space="preserve">197 new clients</w:t>
            </w:r>
          </w:p>
        </w:tc>
        <w:tc>
          <w:tcPr/>
          <w:p>
            <w:pPr>
              <w:pStyle w:val="Compact"/>
              <w:jc w:val="left"/>
            </w:pPr>
            <w:r>
              <w:t xml:space="preserve">98 clients</w:t>
            </w:r>
          </w:p>
        </w:tc>
        <w:tc>
          <w:tcPr/>
          <w:p>
            <w:pPr>
              <w:pStyle w:val="Compact"/>
              <w:jc w:val="left"/>
            </w:pPr>
            <w:r>
              <w:t xml:space="preserve">+100.8%</w:t>
            </w:r>
          </w:p>
        </w:tc>
      </w:tr>
      <w:tr>
        <w:tc>
          <w:tcPr/>
          <w:p>
            <w:pPr>
              <w:pStyle w:val="Compact"/>
              <w:jc w:val="left"/>
            </w:pPr>
            <w:r>
              <w:t xml:space="preserve">Enterprise Segment Growth</w:t>
            </w:r>
          </w:p>
        </w:tc>
        <w:tc>
          <w:tcPr/>
          <w:p>
            <w:pPr>
              <w:pStyle w:val="Compact"/>
              <w:jc w:val="left"/>
            </w:pPr>
            <w:r>
              <w:t xml:space="preserve">$924,000 USD (50% of total)</w:t>
            </w:r>
          </w:p>
        </w:tc>
        <w:tc>
          <w:tcPr/>
          <w:p>
            <w:pPr>
              <w:pStyle w:val="Compact"/>
              <w:jc w:val="left"/>
            </w:pPr>
            <w:r>
              <w:t xml:space="preserve">$563,250 USD (41.6%)</w:t>
            </w:r>
          </w:p>
        </w:tc>
        <w:tc>
          <w:tcPr/>
          <w:p>
            <w:pPr>
              <w:pStyle w:val="Compact"/>
              <w:jc w:val="left"/>
            </w:pPr>
            <w:r>
              <w:t xml:space="preserve">+64.1%</w:t>
            </w:r>
          </w:p>
        </w:tc>
      </w:tr>
    </w:tbl>
    <w:bookmarkEnd w:id="22"/>
    <w:bookmarkStart w:id="26" w:name="X5368725e63e35c1e67af60f582cd3491edec37d"/>
    <w:p>
      <w:pPr>
        <w:pStyle w:val="Heading2"/>
      </w:pPr>
      <w:r>
        <w:t xml:space="preserve">Strategic Drivers of Actor's Success in Córdoba</w:t>
      </w:r>
    </w:p>
    <w:bookmarkStart w:id="23" w:name="localized-product-adaptation"/>
    <w:p>
      <w:pPr>
        <w:pStyle w:val="Heading3"/>
      </w:pPr>
      <w:r>
        <w:t xml:space="preserve">Localized Product Adaptation</w:t>
      </w:r>
    </w:p>
    <w:p>
      <w:pPr>
        <w:pStyle w:val="FirstParagraph"/>
      </w:pPr>
      <w:r>
        <w:t xml:space="preserve">Actor Corporation implemented region-specific product modifications for the Argentina Córdoba market. This included developing 15% voltage compatibility for local electrical infrastructure (addressing common issues with standard imports), incorporating Spanish-language firmware interfaces, and creating bundled solutions for university lecture halls—directly responding to feedback from Universidad Nacional de Córdoba's technology department. These adaptations contributed to a 42% higher average order value in Córdoba versus national averages.</w:t>
      </w:r>
    </w:p>
    <w:bookmarkEnd w:id="23"/>
    <w:bookmarkStart w:id="24" w:name="partnership-ecosystem-development"/>
    <w:p>
      <w:pPr>
        <w:pStyle w:val="Heading3"/>
      </w:pPr>
      <w:r>
        <w:t xml:space="preserve">Partnership Ecosystem Development</w:t>
      </w:r>
    </w:p>
    <w:p>
      <w:pPr>
        <w:pStyle w:val="FirstParagraph"/>
      </w:pPr>
      <w:r>
        <w:t xml:space="preserve">A cornerstone of Actor's strategy was building strategic alliances with key local entities:</w:t>
      </w:r>
      <w:r>
        <w:t xml:space="preserve"> </w:t>
      </w:r>
      <w:r>
        <w:t xml:space="preserve">• Collaborated with Cordobés IT Solutions (Córdoba's largest tech distributor) for exclusive hardware integration</w:t>
      </w:r>
      <w:r>
        <w:t xml:space="preserve"> </w:t>
      </w:r>
      <w:r>
        <w:t xml:space="preserve">• Partnered with the Córdoba Chamber of Commerce to sponsor "Digital Transformation Week" events</w:t>
      </w:r>
      <w:r>
        <w:t xml:space="preserve"> </w:t>
      </w:r>
      <w:r>
        <w:t xml:space="preserve">• Established training partnerships with 8 vocational institutions across the province to certify AV technicians</w:t>
      </w:r>
    </w:p>
    <w:p>
      <w:pPr>
        <w:pStyle w:val="BodyText"/>
      </w:pPr>
      <w:r>
        <w:t xml:space="preserve">These initiatives generated 31% of new leads directly through co-branded events, significantly reducing customer acquisition costs compared to traditional marketing channels.</w:t>
      </w:r>
    </w:p>
    <w:bookmarkEnd w:id="24"/>
    <w:bookmarkStart w:id="25" w:name="cordobés-customer-experience-focus"/>
    <w:p>
      <w:pPr>
        <w:pStyle w:val="Heading3"/>
      </w:pPr>
      <w:r>
        <w:t xml:space="preserve">Cordobés Customer Experience Focus</w:t>
      </w:r>
    </w:p>
    <w:p>
      <w:pPr>
        <w:pStyle w:val="FirstParagraph"/>
      </w:pPr>
      <w:r>
        <w:t xml:space="preserve">Actor's Córdoba team implemented a "Local for Local" service model, with 100% of field technicians based within the province. This resulted in:</w:t>
      </w:r>
      <w:r>
        <w:t xml:space="preserve"> </w:t>
      </w:r>
      <w:r>
        <w:t xml:space="preserve">• Average response time: 6.2 hours (vs. national average of 18 hours)</w:t>
      </w:r>
      <w:r>
        <w:t xml:space="preserve"> </w:t>
      </w:r>
      <w:r>
        <w:t xml:space="preserve">• On-site installation completion rate: 94% (vs. industry average of 72%)</w:t>
      </w:r>
      <w:r>
        <w:t xml:space="preserve"> </w:t>
      </w:r>
      <w:r>
        <w:t xml:space="preserve">• Customer satisfaction score: 4.8/5 (based on post-installation surveys across all Córdoba accounts)</w:t>
      </w:r>
    </w:p>
    <w:p>
      <w:pPr>
        <w:pStyle w:val="BodyText"/>
      </w:pPr>
      <w:r>
        <w:t xml:space="preserve">The sales report notes that this hyper-localized service model directly addressed a critical pain point identified in pre-launch market research—distrust of distant technical support teams common in Argentina's regional markets.</w:t>
      </w:r>
    </w:p>
    <w:bookmarkEnd w:id="25"/>
    <w:bookmarkEnd w:id="26"/>
    <w:bookmarkStart w:id="30" w:name="X634a63014a8436c4bebdf38b1d523991ddf59cb"/>
    <w:p>
      <w:pPr>
        <w:pStyle w:val="Heading2"/>
      </w:pPr>
      <w:r>
        <w:t xml:space="preserve">Market Segmentation Analysis: Argentina Córdoba Breakdown</w:t>
      </w:r>
    </w:p>
    <w:bookmarkStart w:id="27" w:name="Xb55d63fd9e0f1b0fa7467559792e19b55e4dbc3"/>
    <w:p>
      <w:pPr>
        <w:pStyle w:val="Heading3"/>
      </w:pPr>
      <w:r>
        <w:t xml:space="preserve">Education Sector Dominance (41% Revenue Share)</w:t>
      </w:r>
    </w:p>
    <w:p>
      <w:pPr>
        <w:pStyle w:val="FirstParagraph"/>
      </w:pPr>
      <w:r>
        <w:t xml:space="preserve">Actor secured 7 major contracts with Universidad Nacional de Córdoba and its affiliated institutions, including a $580,000 campus-wide AV upgrade. The sales report attributes this success to targeted solutions for large lecture halls and smart classrooms—addressing the province's 12% annual growth in higher education enrollment.</w:t>
      </w:r>
    </w:p>
    <w:bookmarkEnd w:id="27"/>
    <w:bookmarkStart w:id="28" w:name="Xbba97a48cd4b61d4f8ec4b1e220add6ab8690b7"/>
    <w:p>
      <w:pPr>
        <w:pStyle w:val="Heading3"/>
      </w:pPr>
      <w:r>
        <w:t xml:space="preserve">Corporate Enterprise Expansion (38% Revenue Share)</w:t>
      </w:r>
    </w:p>
    <w:p>
      <w:pPr>
        <w:pStyle w:val="FirstParagraph"/>
      </w:pPr>
      <w:r>
        <w:t xml:space="preserve">Córdoba's corporate sector showed explosive growth, particularly in automotive manufacturing (Ford Córdoba plant expansion) and agribusiness. Actor captured contracts with 15 major corporations for executive suite AV systems and training facility upgrades, including a landmark $240,000 deal with a leading soybean processing company.</w:t>
      </w:r>
    </w:p>
    <w:bookmarkEnd w:id="28"/>
    <w:bookmarkStart w:id="29" w:name="Xa907ec022fc5a396830751c61aa0238e2bc8a46"/>
    <w:p>
      <w:pPr>
        <w:pStyle w:val="Heading3"/>
      </w:pPr>
      <w:r>
        <w:t xml:space="preserve">Entertainment &amp; Hospitality Growth (17% Revenue Share)</w:t>
      </w:r>
    </w:p>
    <w:p>
      <w:pPr>
        <w:pStyle w:val="FirstParagraph"/>
      </w:pPr>
      <w:r>
        <w:t xml:space="preserve">The tourism rebound following pandemic restrictions fueled demand in this segment. Actor supplied AV systems for 12 new hotel chains and event venues across Córdoba, including the popular "Córdoba Live Music Festival" venue. Sales report data shows a 63% increase in entertainment sector contracts compared to Q3 2022.</w:t>
      </w:r>
    </w:p>
    <w:bookmarkEnd w:id="29"/>
    <w:bookmarkEnd w:id="30"/>
    <w:bookmarkStart w:id="31" w:name="challenges-and-mitigation-strategies"/>
    <w:p>
      <w:pPr>
        <w:pStyle w:val="Heading2"/>
      </w:pPr>
      <w:r>
        <w:t xml:space="preserve">Challenges and Mitigation Strategies</w:t>
      </w:r>
    </w:p>
    <w:p>
      <w:pPr>
        <w:pStyle w:val="FirstParagraph"/>
      </w:pPr>
      <w:r>
        <w:t xml:space="preserve">The Argentina Córdoba market presented specific challenges addressed through proactive measures:</w:t>
      </w:r>
      <w:r>
        <w:t xml:space="preserve"> </w:t>
      </w:r>
      <w:r>
        <w:t xml:space="preserve">•</w:t>
      </w:r>
      <w:r>
        <w:t xml:space="preserve"> </w:t>
      </w:r>
      <w:r>
        <w:rPr>
          <w:bCs/>
          <w:b/>
        </w:rPr>
        <w:t xml:space="preserve">Regulatory Compliance:</w:t>
      </w:r>
      <w:r>
        <w:t xml:space="preserve"> </w:t>
      </w:r>
      <w:r>
        <w:t xml:space="preserve">Navigated complex technical certification requirements by partnering with Instituto Nacional de Tecnología Industrial (INTI) for local verification, reducing compliance delays by 70%.</w:t>
      </w:r>
      <w:r>
        <w:t xml:space="preserve"> </w:t>
      </w:r>
      <w:r>
        <w:t xml:space="preserve">•</w:t>
      </w:r>
      <w:r>
        <w:t xml:space="preserve"> </w:t>
      </w:r>
      <w:r>
        <w:rPr>
          <w:bCs/>
          <w:b/>
        </w:rPr>
        <w:t xml:space="preserve">Supply Chain Volatility:</w:t>
      </w:r>
      <w:r>
        <w:t xml:space="preserve"> </w:t>
      </w:r>
      <w:r>
        <w:t xml:space="preserve">Established a dedicated Córdoba regional warehouse to cut import dependency. This reduced lead times from 65 days to 14 days for core products.</w:t>
      </w:r>
      <w:r>
        <w:t xml:space="preserve"> </w:t>
      </w:r>
      <w:r>
        <w:t xml:space="preserve">•</w:t>
      </w:r>
      <w:r>
        <w:t xml:space="preserve"> </w:t>
      </w:r>
      <w:r>
        <w:rPr>
          <w:bCs/>
          <w:b/>
        </w:rPr>
        <w:t xml:space="preserve">Currency Fluctuations:</w:t>
      </w:r>
      <w:r>
        <w:t xml:space="preserve"> </w:t>
      </w:r>
      <w:r>
        <w:t xml:space="preserve">Implemented dynamic pricing aligned with Argentina's official exchange rate adjustments, maintaining profitability while staying competitive.</w:t>
      </w:r>
    </w:p>
    <w:bookmarkEnd w:id="31"/>
    <w:bookmarkStart w:id="32" w:name="X7beda1a7ac41e47eaa3b8c838f22b79a22dbbc9"/>
    <w:p>
      <w:pPr>
        <w:pStyle w:val="Heading2"/>
      </w:pPr>
      <w:r>
        <w:t xml:space="preserve">Future Outlook: Actor's Argentina Córdoba Growth Strategy</w:t>
      </w:r>
    </w:p>
    <w:p>
      <w:pPr>
        <w:pStyle w:val="FirstParagraph"/>
      </w:pPr>
      <w:r>
        <w:t xml:space="preserve">This Sales Report confirms Actor Corporation's strategic commitment to Argentina Córdoba as a growth engine. The company plans to:</w:t>
      </w:r>
      <w:r>
        <w:t xml:space="preserve"> </w:t>
      </w:r>
      <w:r>
        <w:t xml:space="preserve">1. Expand the Córdoba-based R&amp;D team by 40% in Q1 2024 to develop products for Latin American markets</w:t>
      </w:r>
      <w:r>
        <w:t xml:space="preserve"> </w:t>
      </w:r>
      <w:r>
        <w:t xml:space="preserve">2. Launch a "Cordobés Innovators" program offering subsidized training for local technicians</w:t>
      </w:r>
      <w:r>
        <w:t xml:space="preserve"> </w:t>
      </w:r>
      <w:r>
        <w:t xml:space="preserve">3. Target a new $3M USD expansion in Córdoba's industrial sector through automotive manufacturing partnerships</w:t>
      </w:r>
    </w:p>
    <w:p>
      <w:pPr>
        <w:pStyle w:val="BodyText"/>
      </w:pPr>
      <w:r>
        <w:t xml:space="preserve">Based on current trajectory, Actor forecasts reaching $7.5M USD in annual revenue from Argentina Córdoba by Q4 2024—representing a 108% growth over 2023. This positions the company to capture an estimated 32% market share in AV solutions across central Argentina within three years.</w:t>
      </w:r>
    </w:p>
    <w:bookmarkEnd w:id="32"/>
    <w:bookmarkStart w:id="33" w:name="conclusion"/>
    <w:p>
      <w:pPr>
        <w:pStyle w:val="Heading2"/>
      </w:pPr>
      <w:r>
        <w:t xml:space="preserve">Conclusion</w:t>
      </w:r>
    </w:p>
    <w:p>
      <w:pPr>
        <w:pStyle w:val="FirstParagraph"/>
      </w:pPr>
      <w:r>
        <w:t xml:space="preserve">This Sales Report unequivocally demonstrates Actor Corporation's successful market entry and expansion strategy within Argentina Córdoba. By prioritizing local adaptation, building community partnerships, and delivering hyper-responsive service tailored to Cordobés business needs, Actor has transformed from a regional player into an indispensable technology partner across the province's key economic sectors. The results—exceeding all financial targets by 22% while achieving record customer satisfaction—prove that strategic localization drives sustainable growth in Argentina's most dynamic market outside Buenos Aires. As the Sales Report concludes, "Actor's Córdoba success is not an anomaly; it is a replicable model for our entire Latin American operations."</w:t>
      </w:r>
    </w:p>
    <w:p>
      <w:pPr>
        <w:pStyle w:val="BodyText"/>
      </w:pPr>
      <w:r>
        <w:rPr>
          <w:bCs/>
          <w:b/>
        </w:rPr>
        <w:t xml:space="preserve">Prepared by:</w:t>
      </w:r>
      <w:r>
        <w:t xml:space="preserve"> </w:t>
      </w:r>
      <w:r>
        <w:t xml:space="preserve">Global Sales Intelligence Unit</w:t>
      </w:r>
      <w:r>
        <w:br/>
      </w:r>
      <w:r>
        <w:rPr>
          <w:bCs/>
          <w:b/>
        </w:rPr>
        <w:t xml:space="preserve">Date:</w:t>
      </w:r>
      <w:r>
        <w:t xml:space="preserve"> </w:t>
      </w:r>
      <w:r>
        <w:t xml:space="preserve">October 15, 2023</w:t>
      </w:r>
      <w:r>
        <w:br/>
      </w:r>
      <w:r>
        <w:rPr>
          <w:bCs/>
          <w:b/>
        </w:rPr>
        <w:t xml:space="preserve">Document Reference:</w:t>
      </w:r>
      <w:r>
        <w:t xml:space="preserve"> </w:t>
      </w:r>
      <w:r>
        <w:t xml:space="preserve">ACT-AR-CBA-2023-Q3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Argentina Córdoba Market</dc:title>
  <dc:creator/>
  <dc:language>en</dc:language>
  <cp:keywords/>
  <dcterms:created xsi:type="dcterms:W3CDTF">2026-07-23T05:56:23Z</dcterms:created>
  <dcterms:modified xsi:type="dcterms:W3CDTF">2026-07-23T05:56:23Z</dcterms:modified>
</cp:coreProperties>
</file>

<file path=docProps/custom.xml><?xml version="1.0" encoding="utf-8"?>
<Properties xmlns="http://schemas.openxmlformats.org/officeDocument/2006/custom-properties" xmlns:vt="http://schemas.openxmlformats.org/officeDocument/2006/docPropsVTypes"/>
</file>