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30" w:name="Xf719fb48eb7029256b1ef4692150bea00f01c94"/>
    <w:p>
      <w:pPr>
        <w:pStyle w:val="Heading1"/>
      </w:pPr>
      <w:r>
        <w:t xml:space="preserve">Comprehensive Sales Report for Actor Product Line in Belgium Brussels Market</w:t>
      </w:r>
    </w:p>
    <w:p>
      <w:pPr>
        <w:pStyle w:val="FirstParagraph"/>
      </w:pPr>
      <w:r>
        <w:rPr>
          <w:bCs/>
          <w:b/>
        </w:rPr>
        <w:t xml:space="preserve">Prepared For:</w:t>
      </w:r>
      <w:r>
        <w:t xml:space="preserve"> </w:t>
      </w:r>
      <w:r>
        <w:t xml:space="preserve">Global Executive Leadership &amp; Marketing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Actor product line has demonstrated exceptional growth trajectory in the Belgium Brussels market during Q3 2023, establishing itself as a category leader in enterprise communications solutions. This Sales Report details the remarkable performance metrics, strategic initiatives that drove success, and actionable insights for continued expansion. The Brussels region contributed 18% to global Actor sales volume this quarter, achieving a 47% year-over-year growth rate – significantly outperforming both regional benchmarks and company-wide averages. This achievement underscores Actor's increasing relevance in Belgium's dynamic digital transformation landscape.</w:t>
      </w:r>
    </w:p>
    <w:p>
      <w:pPr>
        <w:pStyle w:val="BodyText"/>
      </w:pPr>
      <w:r>
        <w:rPr>
          <w:bCs/>
          <w:b/>
        </w:rPr>
        <w:t xml:space="preserve">Key Achievement:</w:t>
      </w:r>
      <w:r>
        <w:t xml:space="preserve"> </w:t>
      </w:r>
      <w:r>
        <w:t xml:space="preserve">Actor achieved its highest quarterly sales volume ever in Belgium Brussels, with a 63% increase in new enterprise contracts compared to Q2. The region now represents the company's fastest-growing market outside of Germany and Netherlands, demonstrating strong localization success.</w:t>
      </w:r>
    </w:p>
    <w:bookmarkEnd w:id="20"/>
    <w:bookmarkStart w:id="22" w:name="ii.-regional-sales-performance-breakdown"/>
    <w:p>
      <w:pPr>
        <w:pStyle w:val="Heading2"/>
      </w:pPr>
      <w:r>
        <w:t xml:space="preserve">II. Regional Sales Performance Breakdown</w:t>
      </w:r>
    </w:p>
    <w:p>
      <w:pPr>
        <w:pStyle w:val="FirstParagraph"/>
      </w:pPr>
      <w:r>
        <w:t xml:space="preserve">Category</w:t>
      </w:r>
    </w:p>
    <w:p>
      <w:pPr>
        <w:pStyle w:val="BodyText"/>
      </w:pPr>
      <w:r>
        <w:t xml:space="preserve">Q3 2023 Sales (€)</w:t>
      </w:r>
    </w:p>
    <w:p>
      <w:pPr>
        <w:pStyle w:val="BodyText"/>
      </w:pPr>
      <w:r>
        <w:t xml:space="preserve">Q2 2023 Sales (€)</w:t>
      </w:r>
    </w:p>
    <w:p>
      <w:pPr>
        <w:pStyle w:val="BodyText"/>
      </w:pPr>
      <w:r>
        <w:t xml:space="preserve">% QoQ Growth</w:t>
      </w:r>
    </w:p>
    <w:p>
      <w:pPr>
        <w:pStyle w:val="BodyText"/>
      </w:pPr>
      <w:r>
        <w:t xml:space="preserve">YoY Growth</w:t>
      </w:r>
    </w:p>
    <w:p>
      <w:pPr>
        <w:pStyle w:val="BodyText"/>
      </w:pPr>
      <w:r>
        <w:t xml:space="preserve">Total Actor Sales</w:t>
      </w:r>
    </w:p>
    <w:p>
      <w:pPr>
        <w:pStyle w:val="BodyText"/>
      </w:pPr>
      <w:r>
        <w:t xml:space="preserve">1,845,000</w:t>
      </w:r>
    </w:p>
    <w:p>
      <w:pPr>
        <w:pStyle w:val="BodyText"/>
      </w:pPr>
      <w:r>
        <w:t xml:space="preserve">1,273,500</w:t>
      </w:r>
    </w:p>
    <w:p>
      <w:pPr>
        <w:pStyle w:val="BodyText"/>
      </w:pPr>
      <w:r>
        <w:t xml:space="preserve">44.9%</w:t>
      </w:r>
    </w:p>
    <w:p>
      <w:pPr>
        <w:pStyle w:val="BodyText"/>
      </w:pPr>
      <w:r>
        <w:t xml:space="preserve">47.2%</w:t>
      </w:r>
    </w:p>
    <w:p>
      <w:pPr>
        <w:pStyle w:val="BodyText"/>
      </w:pPr>
      <w:r>
        <w:t xml:space="preserve">New Enterprise Contracts</w:t>
      </w:r>
    </w:p>
    <w:p>
      <w:pPr>
        <w:pStyle w:val="BodyText"/>
      </w:pPr>
      <w:r>
        <w:t xml:space="preserve">892,300</w:t>
      </w:r>
    </w:p>
    <w:p>
      <w:pPr>
        <w:pStyle w:val="BodyText"/>
      </w:pPr>
      <w:r>
        <w:t xml:space="preserve">561,700</w:t>
      </w:r>
    </w:p>
    <w:p>
      <w:pPr>
        <w:pStyle w:val="BodyText"/>
      </w:pPr>
      <w:r>
        <w:t xml:space="preserve">58.9%</w:t>
      </w:r>
    </w:p>
    <w:p>
      <w:pPr>
        <w:pStyle w:val="BodyText"/>
      </w:pPr>
      <w:r>
        <w:t xml:space="preserve">63.4%</w:t>
      </w:r>
    </w:p>
    <w:p>
      <w:pPr>
        <w:pStyle w:val="BodyText"/>
      </w:pPr>
      <w:r>
        <w:t xml:space="preserve">SMB Segment Sales</w:t>
      </w:r>
    </w:p>
    <w:p>
      <w:pPr>
        <w:pStyle w:val="BodyText"/>
      </w:pPr>
      <w:r>
        <w:t xml:space="preserve">478,200</w:t>
      </w:r>
    </w:p>
    <w:p>
      <w:pPr>
        <w:pStyle w:val="BodyText"/>
      </w:pPr>
      <w:r>
        <w:t xml:space="preserve">&lt;</w:t>
      </w:r>
    </w:p>
    <w:p>
      <w:pPr>
        <w:pStyle w:val="BodyText"/>
      </w:pPr>
      <w:r>
        <w:t xml:space="preserve">321,400</w:t>
      </w:r>
    </w:p>
    <w:p>
      <w:pPr>
        <w:pStyle w:val="BodyText"/>
      </w:pPr>
      <w:r>
        <w:t xml:space="preserve">48.8%</w:t>
      </w:r>
    </w:p>
    <w:p>
      <w:pPr>
        <w:pStyle w:val="BodyText"/>
      </w:pPr>
      <w:r>
        <w:t xml:space="preserve">51.6%</w:t>
      </w:r>
    </w:p>
    <w:p>
      <w:pPr>
        <w:pStyle w:val="BodyText"/>
      </w:pPr>
      <w:r>
        <w:t xml:space="preserve">Government/Healthcare Verticals</w:t>
      </w:r>
    </w:p>
    <w:p>
      <w:pPr>
        <w:pStyle w:val="BodyText"/>
      </w:pPr>
      <w:r>
        <w:t xml:space="preserve">395,800</w:t>
      </w:r>
    </w:p>
    <w:p>
      <w:pPr>
        <w:pStyle w:val="BodyText"/>
      </w:pPr>
      <w:r>
        <w:t xml:space="preserve">234,700</w:t>
      </w:r>
    </w:p>
    <w:p>
      <w:pPr>
        <w:pStyle w:val="BodyText"/>
      </w:pPr>
      <w:r>
        <w:t xml:space="preserve">68.7%</w:t>
      </w:r>
    </w:p>
    <w:p>
      <w:pPr>
        <w:pStyle w:val="BodyText"/>
      </w:pPr>
      <w:r>
        <w:t xml:space="preserve">61.2%</w:t>
      </w:r>
    </w:p>
    <w:bookmarkStart w:id="21" w:name="a.-brussels-specific-growth-drivers"/>
    <w:p>
      <w:pPr>
        <w:pStyle w:val="Heading3"/>
      </w:pPr>
      <w:r>
        <w:t xml:space="preserve">A. Brussels-Specific Growth Drivers</w:t>
      </w:r>
    </w:p>
    <w:p>
      <w:pPr>
        <w:pStyle w:val="FirstParagraph"/>
      </w:pPr>
      <w:r>
        <w:t xml:space="preserve">The Actor product line's success in Belgium Brussels stems from three strategic initiatives:</w:t>
      </w:r>
    </w:p>
    <w:p>
      <w:pPr>
        <w:numPr>
          <w:ilvl w:val="0"/>
          <w:numId w:val="1001"/>
        </w:numPr>
        <w:pStyle w:val="Compact"/>
      </w:pPr>
      <w:r>
        <w:rPr>
          <w:bCs/>
          <w:b/>
        </w:rPr>
        <w:t xml:space="preserve">Localization Partnership:</w:t>
      </w:r>
      <w:r>
        <w:t xml:space="preserve"> </w:t>
      </w:r>
      <w:r>
        <w:t xml:space="preserve">Strategic collaboration with leading Belgian tech consultancy firm "Brussels Digital Solutions" enabled seamless integration with local compliance frameworks (GDPR, Belgian data sovereignty requirements) and cultural adaptation of Actor's user interface.</w:t>
      </w:r>
    </w:p>
    <w:p>
      <w:pPr>
        <w:numPr>
          <w:ilvl w:val="0"/>
          <w:numId w:val="1001"/>
        </w:numPr>
        <w:pStyle w:val="Compact"/>
      </w:pPr>
      <w:r>
        <w:rPr>
          <w:bCs/>
          <w:b/>
        </w:rPr>
        <w:t xml:space="preserve">Sector-Specific Tailoring:</w:t>
      </w:r>
      <w:r>
        <w:t xml:space="preserve"> </w:t>
      </w:r>
      <w:r>
        <w:t xml:space="preserve">Development of healthcare-specific modules for Brussels' prominent hospitals (including Erasme Hospital and UCLouvain Medical Center) addressing Belgium's unique patient privacy regulations.</w:t>
      </w:r>
    </w:p>
    <w:p>
      <w:pPr>
        <w:numPr>
          <w:ilvl w:val="0"/>
          <w:numId w:val="1001"/>
        </w:numPr>
        <w:pStyle w:val="Compact"/>
      </w:pPr>
      <w:r>
        <w:rPr>
          <w:bCs/>
          <w:b/>
        </w:rPr>
        <w:t xml:space="preserve">Government Engagement Program:</w:t>
      </w:r>
      <w:r>
        <w:t xml:space="preserve"> </w:t>
      </w:r>
      <w:r>
        <w:t xml:space="preserve">Dedicated team securing Actor as the preferred communication platform for 3 regional government bodies in Wallonia and Brussels-Capital Region, demonstrating enterprise-grade security capabilities.</w:t>
      </w:r>
    </w:p>
    <w:bookmarkEnd w:id="21"/>
    <w:bookmarkEnd w:id="22"/>
    <w:bookmarkStart w:id="24" w:name="iii.-competitive-positioning-analysis"/>
    <w:p>
      <w:pPr>
        <w:pStyle w:val="Heading2"/>
      </w:pPr>
      <w:r>
        <w:t xml:space="preserve">III. Competitive Positioning Analysis</w:t>
      </w:r>
    </w:p>
    <w:p>
      <w:pPr>
        <w:pStyle w:val="FirstParagraph"/>
      </w:pPr>
      <w:r>
        <w:t xml:space="preserve">In Belgium Brussels' crowded communications market, Actor has achieved a decisive competitive advantage through:</w:t>
      </w:r>
    </w:p>
    <w:p>
      <w:pPr>
        <w:pStyle w:val="BodyText"/>
      </w:pPr>
      <w:r>
        <w:rPr>
          <w:bCs/>
          <w:b/>
        </w:rPr>
        <w:t xml:space="preserve">Market Differentiation:</w:t>
      </w:r>
      <w:r>
        <w:t xml:space="preserve"> </w:t>
      </w:r>
      <w:r>
        <w:t xml:space="preserve">Actor's compliance with Belgian "Dutch-speaking data residency" requirements – a critical factor for 83% of enterprises in the region – has been the primary differentiator. Competitor solutions typically require data processing outside Belgium, violating local regulations. This strategic alignment positioned Actor as the only viable enterprise solution meeting Belgian legal standards.</w:t>
      </w:r>
    </w:p>
    <w:bookmarkStart w:id="23" w:name="market-share-evolution-belgium-brussels"/>
    <w:p>
      <w:pPr>
        <w:pStyle w:val="Heading3"/>
      </w:pPr>
      <w:r>
        <w:t xml:space="preserve">Market Share Evolution (Belgium Brussels)</w:t>
      </w:r>
    </w:p>
    <w:p>
      <w:pPr>
        <w:pStyle w:val="FirstParagraph"/>
      </w:pPr>
      <w:r>
        <w:t xml:space="preserve">Quarter</w:t>
      </w:r>
    </w:p>
    <w:p>
      <w:pPr>
        <w:pStyle w:val="BodyText"/>
      </w:pPr>
      <w:r>
        <w:t xml:space="preserve">Actor Market Share</w:t>
      </w:r>
    </w:p>
    <w:p>
      <w:pPr>
        <w:pStyle w:val="BodyText"/>
      </w:pPr>
      <w:r>
        <w:t xml:space="preserve">Main Competitor (e.g., "TalkFlow")</w:t>
      </w:r>
    </w:p>
    <w:p>
      <w:pPr>
        <w:pStyle w:val="BodyText"/>
      </w:pPr>
      <w:r>
        <w:t xml:space="preserve">Q1 2023</w:t>
      </w:r>
    </w:p>
    <w:p>
      <w:pPr>
        <w:pStyle w:val="BodyText"/>
      </w:pPr>
      <w:r>
        <w:t xml:space="preserve">18.7%</w:t>
      </w:r>
    </w:p>
    <w:p>
      <w:pPr>
        <w:pStyle w:val="BodyText"/>
      </w:pPr>
      <w:r>
        <w:t xml:space="preserve">42.1%</w:t>
      </w:r>
    </w:p>
    <w:p>
      <w:pPr>
        <w:pStyle w:val="BodyText"/>
      </w:pPr>
      <w:r>
        <w:t xml:space="preserve">Q2 2023</w:t>
      </w:r>
    </w:p>
    <w:p>
      <w:pPr>
        <w:pStyle w:val="BodyText"/>
      </w:pPr>
      <w:r>
        <w:t xml:space="preserve">25.6%</w:t>
      </w:r>
    </w:p>
    <w:p>
      <w:pPr>
        <w:pStyle w:val="BodyText"/>
      </w:pPr>
      <w:r>
        <w:t xml:space="preserve">34.8%</w:t>
      </w:r>
    </w:p>
    <w:p>
      <w:pPr>
        <w:pStyle w:val="BodyText"/>
      </w:pPr>
      <w:r>
        <w:rPr>
          <w:bCs/>
          <w:b/>
        </w:rPr>
        <w:t xml:space="preserve">Q3 2023</w:t>
      </w:r>
    </w:p>
    <w:p>
      <w:pPr>
        <w:pStyle w:val="BodyText"/>
      </w:pPr>
      <w:r>
        <w:t xml:space="preserve">Actor Market Share</w:t>
      </w:r>
    </w:p>
    <w:p>
      <w:pPr>
        <w:pStyle w:val="BodyText"/>
      </w:pPr>
      <w:r>
        <w:t xml:space="preserve">37.9%</w:t>
      </w:r>
    </w:p>
    <w:bookmarkEnd w:id="23"/>
    <w:bookmarkEnd w:id="24"/>
    <w:bookmarkStart w:id="25" w:name="Xe989e97b2a91e6f98aaa73e86c4b9b084e880b3"/>
    <w:p>
      <w:pPr>
        <w:pStyle w:val="Heading2"/>
      </w:pPr>
      <w:r>
        <w:t xml:space="preserve">IV. Customer Satisfaction &amp; Market Validation</w:t>
      </w:r>
    </w:p>
    <w:p>
      <w:pPr>
        <w:pStyle w:val="FirstParagraph"/>
      </w:pPr>
      <w:r>
        <w:t xml:space="preserve">Customer feedback from Belgium Brussels clients reveals exceptional market validation for the Actor product line:</w:t>
      </w:r>
    </w:p>
    <w:p>
      <w:pPr>
        <w:numPr>
          <w:ilvl w:val="0"/>
          <w:numId w:val="1002"/>
        </w:numPr>
        <w:pStyle w:val="Compact"/>
      </w:pPr>
      <w:r>
        <w:rPr>
          <w:bCs/>
          <w:b/>
        </w:rPr>
        <w:t xml:space="preserve">NPS Score:</w:t>
      </w:r>
      <w:r>
        <w:t xml:space="preserve"> </w:t>
      </w:r>
      <w:r>
        <w:t xml:space="preserve">78 (Industry average: 45) – driven by seamless GDPR integration and localized support</w:t>
      </w:r>
    </w:p>
    <w:p>
      <w:pPr>
        <w:numPr>
          <w:ilvl w:val="0"/>
          <w:numId w:val="1002"/>
        </w:numPr>
        <w:pStyle w:val="Compact"/>
      </w:pPr>
      <w:r>
        <w:rPr>
          <w:bCs/>
          <w:b/>
        </w:rPr>
        <w:t xml:space="preserve">Client Retention Rate:</w:t>
      </w:r>
      <w:r>
        <w:t xml:space="preserve"> </w:t>
      </w:r>
      <w:r>
        <w:t xml:space="preserve">96% in Brussels region (vs. global average of 89%)</w:t>
      </w:r>
    </w:p>
    <w:p>
      <w:pPr>
        <w:numPr>
          <w:ilvl w:val="0"/>
          <w:numId w:val="1002"/>
        </w:numPr>
        <w:pStyle w:val="Compact"/>
      </w:pPr>
      <w:r>
        <w:rPr>
          <w:bCs/>
          <w:b/>
        </w:rPr>
        <w:t xml:space="preserve">Promotion Rate:</w:t>
      </w:r>
      <w:r>
        <w:t xml:space="preserve"> </w:t>
      </w:r>
      <w:r>
        <w:t xml:space="preserve">72% of enterprise clients referenced Actor to other Belgian organizations in Q3</w:t>
      </w:r>
    </w:p>
    <w:p>
      <w:pPr>
        <w:pStyle w:val="FirstParagraph"/>
      </w:pPr>
      <w:r>
        <w:rPr>
          <w:bCs/>
          <w:b/>
        </w:rPr>
        <w:t xml:space="preserve">Critical Success Quote from Client:</w:t>
      </w:r>
      <w:r>
        <w:t xml:space="preserve"> </w:t>
      </w:r>
      <w:r>
        <w:t xml:space="preserve">"Actor wasn't just a product we purchased – it became the foundation for our digital transformation. The ability to process data within Belgium's legal framework was non-negotiable, and Actor delivered where others failed." – CIO, Major Brussels Healthcare Provider</w:t>
      </w:r>
    </w:p>
    <w:bookmarkEnd w:id="25"/>
    <w:bookmarkStart w:id="28" w:name="v.-challenges-strategic-recommendations"/>
    <w:p>
      <w:pPr>
        <w:pStyle w:val="Heading2"/>
      </w:pPr>
      <w:r>
        <w:t xml:space="preserve">V. Challenges &amp; Strategic Recommendations</w:t>
      </w:r>
    </w:p>
    <w:bookmarkStart w:id="26" w:name="a.-key-challenges-encountered"/>
    <w:p>
      <w:pPr>
        <w:pStyle w:val="Heading3"/>
      </w:pPr>
      <w:r>
        <w:t xml:space="preserve">A. Key Challenges Encountered</w:t>
      </w:r>
    </w:p>
    <w:p>
      <w:pPr>
        <w:pStyle w:val="FirstParagraph"/>
      </w:pPr>
      <w:r>
        <w:t xml:space="preserve">While results are exceptional, three challenges require strategic attention:</w:t>
      </w:r>
    </w:p>
    <w:p>
      <w:pPr>
        <w:numPr>
          <w:ilvl w:val="0"/>
          <w:numId w:val="1003"/>
        </w:numPr>
        <w:pStyle w:val="Compact"/>
      </w:pPr>
      <w:r>
        <w:rPr>
          <w:bCs/>
          <w:b/>
        </w:rPr>
        <w:t xml:space="preserve">Language Complexity:</w:t>
      </w:r>
      <w:r>
        <w:t xml:space="preserve"> </w:t>
      </w:r>
      <w:r>
        <w:t xml:space="preserve">Initial user interface required French/Dutch bilingual support beyond current capabilities in core modules.</w:t>
      </w:r>
    </w:p>
    <w:p>
      <w:pPr>
        <w:numPr>
          <w:ilvl w:val="0"/>
          <w:numId w:val="1003"/>
        </w:numPr>
        <w:pStyle w:val="Compact"/>
      </w:pPr>
      <w:r>
        <w:rPr>
          <w:bCs/>
          <w:b/>
        </w:rPr>
        <w:t xml:space="preserve">Talent Acquisition:</w:t>
      </w:r>
      <w:r>
        <w:t xml:space="preserve"> </w:t>
      </w:r>
      <w:r>
        <w:t xml:space="preserve">Difficulty finding local technical staff with Actor platform expertise and Belgian regulatory knowledge.</w:t>
      </w:r>
    </w:p>
    <w:p>
      <w:pPr>
        <w:numPr>
          <w:ilvl w:val="0"/>
          <w:numId w:val="1003"/>
        </w:numPr>
        <w:pStyle w:val="Compact"/>
      </w:pPr>
      <w:r>
        <w:rPr>
          <w:bCs/>
          <w:b/>
        </w:rPr>
        <w:t xml:space="preserve">Cultural Nuances:</w:t>
      </w:r>
      <w:r>
        <w:t xml:space="preserve"> </w:t>
      </w:r>
      <w:r>
        <w:t xml:space="preserve">Sales cycle extended by 30% due to deeper consultation requirements for government contracts in Belgium's decentralized system.</w:t>
      </w:r>
    </w:p>
    <w:bookmarkEnd w:id="26"/>
    <w:bookmarkStart w:id="27" w:name="X954b1b46b277a12bd643bb712b76ea516971dce"/>
    <w:p>
      <w:pPr>
        <w:pStyle w:val="Heading3"/>
      </w:pPr>
      <w:r>
        <w:t xml:space="preserve">B. Action Plan for Belgium Brussels Growth</w:t>
      </w:r>
    </w:p>
    <w:p>
      <w:pPr>
        <w:pStyle w:val="FirstParagraph"/>
      </w:pPr>
      <w:r>
        <w:t xml:space="preserve">Based on Q3 performance, the following strategies will be implemented immediately:</w:t>
      </w:r>
    </w:p>
    <w:p>
      <w:pPr>
        <w:numPr>
          <w:ilvl w:val="0"/>
          <w:numId w:val="1004"/>
        </w:numPr>
        <w:pStyle w:val="Compact"/>
      </w:pPr>
      <w:r>
        <w:rPr>
          <w:bCs/>
          <w:b/>
        </w:rPr>
        <w:t xml:space="preserve">Localization Acceleration:</w:t>
      </w:r>
      <w:r>
        <w:t xml:space="preserve"> </w:t>
      </w:r>
      <w:r>
        <w:t xml:space="preserve">Launch French/Dutch language support for all Actor modules by January 2024 (current timeline: Q1)</w:t>
      </w:r>
    </w:p>
    <w:p>
      <w:pPr>
        <w:numPr>
          <w:ilvl w:val="0"/>
          <w:numId w:val="1004"/>
        </w:numPr>
        <w:pStyle w:val="Compact"/>
      </w:pPr>
      <w:r>
        <w:rPr>
          <w:bCs/>
          <w:b/>
        </w:rPr>
        <w:t xml:space="preserve">Brussels Talent Hub:</w:t>
      </w:r>
      <w:r>
        <w:t xml:space="preserve"> </w:t>
      </w:r>
      <w:r>
        <w:t xml:space="preserve">Establish dedicated recruitment program targeting University of Brussels and KU Leuven graduates specializing in EU data regulations</w:t>
      </w:r>
    </w:p>
    <w:p>
      <w:pPr>
        <w:numPr>
          <w:ilvl w:val="0"/>
          <w:numId w:val="1004"/>
        </w:numPr>
        <w:pStyle w:val="Compact"/>
      </w:pPr>
      <w:r>
        <w:rPr>
          <w:bCs/>
          <w:b/>
        </w:rPr>
        <w:t xml:space="preserve">Government Partnership Expansion:</w:t>
      </w:r>
      <w:r>
        <w:t xml:space="preserve"> </w:t>
      </w:r>
      <w:r>
        <w:t xml:space="preserve">Target 5 additional regional government contracts through the newly formed Belgium Public Sector Unit</w:t>
      </w:r>
    </w:p>
    <w:p>
      <w:pPr>
        <w:numPr>
          <w:ilvl w:val="0"/>
          <w:numId w:val="1004"/>
        </w:numPr>
        <w:pStyle w:val="Compact"/>
      </w:pPr>
      <w:r>
        <w:rPr>
          <w:bCs/>
          <w:b/>
        </w:rPr>
        <w:t xml:space="preserve">SME Channel Development:</w:t>
      </w:r>
      <w:r>
        <w:t xml:space="preserve"> </w:t>
      </w:r>
      <w:r>
        <w:t xml:space="preserve">Create specialized package for Belgian SMEs with VAT-compliant billing and simplified French terms of service</w:t>
      </w:r>
    </w:p>
    <w:bookmarkEnd w:id="27"/>
    <w:bookmarkEnd w:id="28"/>
    <w:bookmarkStart w:id="29" w:name="vi.-conclusion-future-outlook"/>
    <w:p>
      <w:pPr>
        <w:pStyle w:val="Heading2"/>
      </w:pPr>
      <w:r>
        <w:t xml:space="preserve">VI. Conclusion &amp; Future Outlook</w:t>
      </w:r>
    </w:p>
    <w:p>
      <w:pPr>
        <w:pStyle w:val="FirstParagraph"/>
      </w:pPr>
      <w:r>
        <w:t xml:space="preserve">The Belgium Brussels market has emerged as a critical growth engine for the Actor product line, proving that strategic localization combined with regulatory expertise delivers transformative results. This Sales Report confirms Actor's position as the market leader in Belgium Brussels for enterprise communications solutions, with a rapidly expanding customer base across healthcare, government, and large enterprises.</w:t>
      </w:r>
    </w:p>
    <w:p>
      <w:pPr>
        <w:pStyle w:val="BodyText"/>
      </w:pPr>
      <w:r>
        <w:t xml:space="preserve">Looking ahead to Q4 2023 and beyond, we project continued dominance in the region through implementation of our accelerated localization plan. The Brussels success story has already been replicated in other Benelux markets (Netherlands saw 37% growth following the Belgium model), validating this approach as a scalable blueprint for European expansion.</w:t>
      </w:r>
    </w:p>
    <w:p>
      <w:pPr>
        <w:pStyle w:val="BodyText"/>
      </w:pPr>
      <w:r>
        <w:t xml:space="preserve">As we finalize this Sales Report, it's critical to emphasize that Actor isn't merely selling technology – we're delivering regulatory confidence and market trust in a region where data sovereignty is non-negotiable. The Belgium Brussels performance sets the standard for how Actor will be positioned across all European markets moving forward.</w:t>
      </w:r>
    </w:p>
    <w:p>
      <w:pPr>
        <w:pStyle w:val="BodyText"/>
      </w:pPr>
      <w:r>
        <w:rPr>
          <w:bCs/>
          <w:b/>
        </w:rPr>
        <w:t xml:space="preserve">Strategic Imperative:</w:t>
      </w:r>
      <w:r>
        <w:t xml:space="preserve"> </w:t>
      </w:r>
      <w:r>
        <w:t xml:space="preserve">Maintain focused investment in Belgium Brussels as the flagship market for Actor's regulatory compliance model. This region's success has proven that meeting local legal frameworks isn't just a compliance requirement – it's the primary driver of sales growth in regulated European markets.</w:t>
      </w:r>
    </w:p>
    <w:p>
      <w:pPr>
        <w:pStyle w:val="BodyText"/>
      </w:pPr>
      <w:r>
        <w:t xml:space="preserve">This Sales Report is confidential and intended solely for internal company use. Actor Product Line | Global Sales Intelligence Division</w:t>
      </w:r>
    </w:p>
    <w:p>
      <w:pPr>
        <w:pStyle w:val="BodyText"/>
      </w:pPr>
      <w:r>
        <w:t xml:space="preserve">Word Count: 847 | Document ID: ACT-2023-Q3-BRUSSELS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Belgium Brussels Market Performance</dc:title>
  <dc:creator/>
  <dc:language>en</dc:language>
  <cp:keywords/>
  <dcterms:created xsi:type="dcterms:W3CDTF">2026-07-21T08:12:16Z</dcterms:created>
  <dcterms:modified xsi:type="dcterms:W3CDTF">2026-07-21T08:12:16Z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