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9" w:name="X408c6d9bb3e0ad0aef30f92abd2f2011d6d2be0"/>
    <w:p>
      <w:pPr>
        <w:pStyle w:val="Heading1"/>
      </w:pPr>
      <w:r>
        <w:t xml:space="preserve">Sales Report: Actor Performance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Actor Global Operations</w:t>
      </w:r>
      <w:r>
        <w:br/>
      </w:r>
      <w:r>
        <w:rPr>
          <w:bCs/>
          <w:b/>
        </w:rPr>
        <w:t xml:space="preserve">Region Covered:</w:t>
      </w:r>
      <w:r>
        <w:t xml:space="preserve"> </w:t>
      </w:r>
      <w:r>
        <w:t xml:space="preserve">Colombia Bogotá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flagship brand,</w:t>
      </w:r>
      <w:r>
        <w:t xml:space="preserve"> </w:t>
      </w:r>
      <w:r>
        <w:rPr>
          <w:iCs/>
          <w:i/>
        </w:rPr>
        <w:t xml:space="preserve">Actor</w:t>
      </w:r>
      <w:r>
        <w:t xml:space="preserve">, across the vibrant market of Colombia Bogotá during Q3 2023. As a strategic hub for Latin American operations, Bogotá represents a critical revenue driver for Actor's regional expansion. The report confirms a 18.7% year-over-year sales growth in Colombia Bogotá, outpacing the national retail market by 5.2%. Despite macroeconomic challenges including inflation at 12.3% and supply chain disruptions, Actor achieved market share leadership (34%) in its category within Bogotá. This report analyzes key drivers, identifies growth opportunities, and provides actionable insights for sustaining momentum in this high-potential market.</w:t>
      </w:r>
    </w:p>
    <w:bookmarkEnd w:id="20"/>
    <w:bookmarkStart w:id="22" w:name="Xf349b3238cbf9efd468fec96a6572aad3057915"/>
    <w:p>
      <w:pPr>
        <w:pStyle w:val="Heading2"/>
      </w:pPr>
      <w:r>
        <w:t xml:space="preserve">II. Market Context: Colombia Bogotá Dynamics</w:t>
      </w:r>
    </w:p>
    <w:p>
      <w:pPr>
        <w:pStyle w:val="FirstParagraph"/>
      </w:pPr>
      <w:r>
        <w:t xml:space="preserve">Colombia Bogotá remains the undisputed commercial epicenter of South America's third-largest economy, with a population of 10.5 million residents and a $43 billion GDP contribution from the metropolitan area alone. The city's unique demographic profile—68% urban youth (18-35 years), high smartphone penetration (89%), and robust e-commerce adoption (42% of retail transactions)—creates an ideal environment for Actor's digital-first consumer engagement strategy. Bogotá's competitive landscape features intense rivalry in the premium lifestyle segment, where Actor currently holds a 27% higher customer satisfaction score than competitors according to recent LAC Retail Intelligence data.</w:t>
      </w:r>
    </w:p>
    <w:bookmarkStart w:id="21" w:name="key-bogotá-market-metrics-q3-2023"/>
    <w:p>
      <w:pPr>
        <w:pStyle w:val="Heading3"/>
      </w:pPr>
      <w:r>
        <w:t xml:space="preserve">Key Bogotá Market Metrics (Q3 2023):</w:t>
      </w:r>
    </w:p>
    <w:p>
      <w:pPr>
        <w:numPr>
          <w:ilvl w:val="0"/>
          <w:numId w:val="1001"/>
        </w:numPr>
        <w:pStyle w:val="Compact"/>
      </w:pPr>
      <w:r>
        <w:rPr>
          <w:bCs/>
          <w:b/>
        </w:rPr>
        <w:t xml:space="preserve">Consumer Spending Power:</w:t>
      </w:r>
      <w:r>
        <w:t xml:space="preserve"> </w:t>
      </w:r>
      <w:r>
        <w:t xml:space="preserve">15.8% YoY increase in discretionary spend within Actor's target category</w:t>
      </w:r>
    </w:p>
    <w:p>
      <w:pPr>
        <w:numPr>
          <w:ilvl w:val="0"/>
          <w:numId w:val="1001"/>
        </w:numPr>
        <w:pStyle w:val="Compact"/>
      </w:pPr>
      <w:r>
        <w:rPr>
          <w:bCs/>
          <w:b/>
        </w:rPr>
        <w:t xml:space="preserve">Digital Adoption Rate:</w:t>
      </w:r>
      <w:r>
        <w:t xml:space="preserve"> </w:t>
      </w:r>
      <w:r>
        <w:t xml:space="preserve">76% of Actor purchases initiated via mobile app in Bogotá (vs. 63% nationally)</w:t>
      </w:r>
    </w:p>
    <w:p>
      <w:pPr>
        <w:numPr>
          <w:ilvl w:val="0"/>
          <w:numId w:val="1001"/>
        </w:numPr>
        <w:pStyle w:val="Compact"/>
      </w:pPr>
      <w:r>
        <w:rPr>
          <w:bCs/>
          <w:b/>
        </w:rPr>
        <w:t xml:space="preserve">Competitive Position:</w:t>
      </w:r>
      <w:r>
        <w:t xml:space="preserve"> </w:t>
      </w:r>
      <w:r>
        <w:t xml:space="preserve">#1 market share in premium segment (34%) vs. Competitor A's 28%</w:t>
      </w:r>
    </w:p>
    <w:bookmarkEnd w:id="21"/>
    <w:bookmarkEnd w:id="22"/>
    <w:bookmarkStart w:id="24" w:name="Xe66cf477ccfa314a747dc8a7d8e96a6af1de452"/>
    <w:p>
      <w:pPr>
        <w:pStyle w:val="Heading2"/>
      </w:pPr>
      <w:r>
        <w:t xml:space="preserve">III. Actor Sales Performance: Colombia Bogotá Deep Dive</w:t>
      </w:r>
    </w:p>
    <w:p>
      <w:pPr>
        <w:pStyle w:val="FirstParagraph"/>
      </w:pPr>
      <w:r>
        <w:t xml:space="preserve">The Q3 2023 Sales Report for Actor in Colombia Bogotá reveals exceptional performance across all key metrics. Total revenue reached $14.7M, a 18.7% increase from $12.4M in Q3 2022, with Bogotá contributing 68% of Actor's total Colombia sales.</w:t>
      </w:r>
    </w:p>
    <w:bookmarkStart w:id="23" w:name="product-category-breakdown"/>
    <w:p>
      <w:pPr>
        <w:pStyle w:val="Heading3"/>
      </w:pPr>
      <w:r>
        <w:t xml:space="preserve">Product Category Breakdown:</w:t>
      </w:r>
    </w:p>
    <w:p>
      <w:pPr>
        <w:pStyle w:val="FirstParagraph"/>
      </w:pPr>
      <w:r>
        <w:t xml:space="preserve">Product Line</w:t>
      </w:r>
    </w:p>
    <w:p>
      <w:pPr>
        <w:pStyle w:val="BodyText"/>
      </w:pPr>
      <w:r>
        <w:t xml:space="preserve">Q3 2023 Revenue ($)</w:t>
      </w:r>
    </w:p>
    <w:p>
      <w:pPr>
        <w:pStyle w:val="BodyText"/>
      </w:pPr>
      <w:r>
        <w:t xml:space="preserve">% of Total Bogotá Sales</w:t>
      </w:r>
    </w:p>
    <w:p>
      <w:pPr>
        <w:pStyle w:val="BodyText"/>
      </w:pPr>
      <w:r>
        <w:t xml:space="preserve">YoY Growth</w:t>
      </w:r>
    </w:p>
    <w:p>
      <w:pPr>
        <w:pStyle w:val="BodyText"/>
      </w:pPr>
      <w:r>
        <w:t xml:space="preserve">Luxury Apparel Collection</w:t>
      </w:r>
    </w:p>
    <w:p>
      <w:pPr>
        <w:pStyle w:val="BodyText"/>
      </w:pPr>
      <w:r>
        <w:t xml:space="preserve">6,150,000</w:t>
      </w:r>
    </w:p>
    <w:p>
      <w:pPr>
        <w:pStyle w:val="BodyText"/>
      </w:pPr>
      <w:r>
        <w:t xml:space="preserve">42%</w:t>
      </w:r>
    </w:p>
    <w:p>
      <w:pPr>
        <w:pStyle w:val="BodyText"/>
      </w:pPr>
      <w:r>
        <w:t xml:space="preserve">23.1%</w:t>
      </w:r>
    </w:p>
    <w:p>
      <w:pPr>
        <w:pStyle w:val="BodyText"/>
      </w:pPr>
      <w:r>
        <w:t xml:space="preserve">Digital Experience Bundles</w:t>
      </w:r>
    </w:p>
    <w:p>
      <w:pPr>
        <w:pStyle w:val="BodyText"/>
      </w:pPr>
      <w:r>
        <w:t xml:space="preserve">4,875,00018.7%</w:t>
      </w:r>
    </w:p>
    <w:p>
      <w:pPr>
        <w:pStyle w:val="BodyText"/>
      </w:pPr>
      <w:r>
        <w:t xml:space="preserve">Sustainable Lifestyle Products</w:t>
      </w:r>
    </w:p>
    <w:p>
      <w:pPr>
        <w:pStyle w:val="BodyText"/>
      </w:pPr>
      <w:r>
        <w:t xml:space="preserve">3,675,000</w:t>
      </w:r>
    </w:p>
    <w:p>
      <w:pPr>
        <w:pStyle w:val="BodyText"/>
      </w:pPr>
      <w:r>
        <w:t xml:space="preserve">25%</w:t>
      </w:r>
    </w:p>
    <w:p>
      <w:pPr>
        <w:pStyle w:val="BodyText"/>
      </w:pPr>
      <w:r>
        <w:t xml:space="preserve">14.9%</w:t>
      </w:r>
    </w:p>
    <w:p>
      <w:pPr>
        <w:pStyle w:val="BodyText"/>
      </w:pPr>
      <w:r>
        <w:t xml:space="preserve">Total</w:t>
      </w:r>
    </w:p>
    <w:p>
      <w:pPr>
        <w:pStyle w:val="BodyText"/>
      </w:pPr>
      <w:r>
        <w:t xml:space="preserve">$14,700,000</w:t>
      </w:r>
    </w:p>
    <w:p>
      <w:pPr>
        <w:pStyle w:val="BodyText"/>
      </w:pPr>
      <w:r>
        <w:t xml:space="preserve">100%</w:t>
      </w:r>
    </w:p>
    <w:p>
      <w:pPr>
        <w:pStyle w:val="BodyText"/>
      </w:pPr>
      <w:r>
        <w:t xml:space="preserve">18.7%</w:t>
      </w:r>
    </w:p>
    <w:p>
      <w:pPr>
        <w:pStyle w:val="BodyText"/>
      </w:pPr>
      <w:r>
        <w:t xml:space="preserve">The Digital Experience Bundles category demonstrated particularly strong traction due to Bogotá's tech-savvy consumer base. Actor's exclusive partnership with local influencers in Colombia Bogotá (including 3 viral TikTok campaigns featuring renowned Colombian actors like Julián Román and María José Vargas) drove a 47% increase in app engagement, directly translating to higher conversion rates.</w:t>
      </w:r>
    </w:p>
    <w:bookmarkEnd w:id="23"/>
    <w:bookmarkEnd w:id="24"/>
    <w:bookmarkStart w:id="25" w:name="X19d23d9415443fcd0391078ef7f974573763906"/>
    <w:p>
      <w:pPr>
        <w:pStyle w:val="Heading2"/>
      </w:pPr>
      <w:r>
        <w:t xml:space="preserve">IV. Growth Catalysts: Why Actor Thrives in Colombia Bogotá</w:t>
      </w:r>
    </w:p>
    <w:p>
      <w:pPr>
        <w:pStyle w:val="FirstParagraph"/>
      </w:pPr>
      <w:r>
        <w:t xml:space="preserve">Three strategic factors underpin Actor's success in this market:</w:t>
      </w:r>
    </w:p>
    <w:p>
      <w:pPr>
        <w:numPr>
          <w:ilvl w:val="0"/>
          <w:numId w:val="1002"/>
        </w:numPr>
        <w:pStyle w:val="Compact"/>
      </w:pPr>
      <w:r>
        <w:rPr>
          <w:bCs/>
          <w:b/>
        </w:rPr>
        <w:t xml:space="preserve">Cultural Resonance:</w:t>
      </w:r>
      <w:r>
        <w:t xml:space="preserve"> </w:t>
      </w:r>
      <w:r>
        <w:t xml:space="preserve">Our Bogotá marketing team adapted campaigns to local nuances—celebrating "Día de la Tradición" with authentic Colombian artisan collaborations, which increased social engagement by 210%.</w:t>
      </w:r>
    </w:p>
    <w:p>
      <w:pPr>
        <w:numPr>
          <w:ilvl w:val="0"/>
          <w:numId w:val="1002"/>
        </w:numPr>
        <w:pStyle w:val="Compact"/>
      </w:pPr>
      <w:r>
        <w:rPr>
          <w:bCs/>
          <w:b/>
        </w:rPr>
        <w:t xml:space="preserve">Logistical Excellence:</w:t>
      </w:r>
      <w:r>
        <w:t xml:space="preserve"> </w:t>
      </w:r>
      <w:r>
        <w:t xml:space="preserve">The newly established Actor Distribution Center in Soacha (Bogotá's logistics hub) reduced delivery times to 24 hours for 87% of orders—significantly below Bogotá's average of 48 hours.</w:t>
      </w:r>
    </w:p>
    <w:p>
      <w:pPr>
        <w:numPr>
          <w:ilvl w:val="0"/>
          <w:numId w:val="1002"/>
        </w:numPr>
        <w:pStyle w:val="Compact"/>
      </w:pPr>
      <w:r>
        <w:rPr>
          <w:bCs/>
          <w:b/>
        </w:rPr>
        <w:t xml:space="preserve">Digital Ecosystem Integration:</w:t>
      </w:r>
      <w:r>
        <w:t xml:space="preserve"> </w:t>
      </w:r>
      <w:r>
        <w:t xml:space="preserve">Seamless payment options via Colombia's dominant platforms (PSE, Nequi, Daviplata) resulted in a 35% lower cart abandonment rate versus competitors.</w:t>
      </w:r>
    </w:p>
    <w:bookmarkEnd w:id="25"/>
    <w:bookmarkStart w:id="26" w:name="v.-challenges-strategic-imperatives"/>
    <w:p>
      <w:pPr>
        <w:pStyle w:val="Heading2"/>
      </w:pPr>
      <w:r>
        <w:t xml:space="preserve">V. Challenges &amp; Strategic Imperatives</w:t>
      </w:r>
    </w:p>
    <w:p>
      <w:pPr>
        <w:pStyle w:val="FirstParagraph"/>
      </w:pPr>
      <w:r>
        <w:t xml:space="preserve">While performance is strong, two critical challenges require immediate attention per this Sales Report:</w:t>
      </w:r>
    </w:p>
    <w:p>
      <w:pPr>
        <w:numPr>
          <w:ilvl w:val="0"/>
          <w:numId w:val="1003"/>
        </w:numPr>
        <w:pStyle w:val="Compact"/>
      </w:pPr>
      <w:r>
        <w:rPr>
          <w:bCs/>
          <w:b/>
        </w:rPr>
        <w:t xml:space="preserve">Urban Logistics Complexity:</w:t>
      </w:r>
      <w:r>
        <w:t xml:space="preserve"> </w:t>
      </w:r>
      <w:r>
        <w:t xml:space="preserve">Bogotá's traffic congestion causes 17% of last-mile delivery delays. Actor must accelerate investment in drone delivery trials with local partner Dronetek to maintain service levels.</w:t>
      </w:r>
    </w:p>
    <w:p>
      <w:pPr>
        <w:numPr>
          <w:ilvl w:val="0"/>
          <w:numId w:val="1003"/>
        </w:numPr>
        <w:pStyle w:val="Compact"/>
      </w:pPr>
      <w:r>
        <w:rPr>
          <w:bCs/>
          <w:b/>
        </w:rPr>
        <w:t xml:space="preserve">Economic Sensitivity:</w:t>
      </w:r>
      <w:r>
        <w:t xml:space="preserve"> </w:t>
      </w:r>
      <w:r>
        <w:t xml:space="preserve">Despite growth, 29% of Bogotá consumers now prioritize value over premium pricing. We recommend introducing a "Bogotá Value Line" with localized designs (e.g., traditional Colombian patterns on accessories) to capture price-sensitive segments.</w:t>
      </w:r>
    </w:p>
    <w:bookmarkEnd w:id="26"/>
    <w:bookmarkStart w:id="27" w:name="Xcd135cf37801b0f309f6edd744ba930c865ce0b"/>
    <w:p>
      <w:pPr>
        <w:pStyle w:val="Heading2"/>
      </w:pPr>
      <w:r>
        <w:t xml:space="preserve">VI. Future Roadmap: Actor's Colombia Bogotá Strategy</w:t>
      </w:r>
    </w:p>
    <w:p>
      <w:pPr>
        <w:pStyle w:val="FirstParagraph"/>
      </w:pPr>
      <w:r>
        <w:t xml:space="preserve">Based on this Sales Report analysis, we recommend three priorities for Actor's Colombia operations:</w:t>
      </w:r>
    </w:p>
    <w:p>
      <w:pPr>
        <w:numPr>
          <w:ilvl w:val="0"/>
          <w:numId w:val="1004"/>
        </w:numPr>
        <w:pStyle w:val="Compact"/>
      </w:pPr>
      <w:r>
        <w:rPr>
          <w:bCs/>
          <w:b/>
        </w:rPr>
        <w:t xml:space="preserve">Expand Physical Presence:</w:t>
      </w:r>
      <w:r>
        <w:t xml:space="preserve"> </w:t>
      </w:r>
      <w:r>
        <w:t xml:space="preserve">Open 3 new "Actor Experience Hubs" in high-traffic Bogotá locations (Zona Rosa, Chapinero, La Candelaria) by Q1 2024 to capitalize on the city's strong foot traffic (7.8M daily visitors).</w:t>
      </w:r>
    </w:p>
    <w:p>
      <w:pPr>
        <w:numPr>
          <w:ilvl w:val="0"/>
          <w:numId w:val="1004"/>
        </w:numPr>
        <w:pStyle w:val="Compact"/>
      </w:pPr>
      <w:r>
        <w:rPr>
          <w:bCs/>
          <w:b/>
        </w:rPr>
        <w:t xml:space="preserve">Localized Content Investment:</w:t>
      </w:r>
      <w:r>
        <w:t xml:space="preserve"> </w:t>
      </w:r>
      <w:r>
        <w:t xml:space="preserve">Allocate $500K to produce Bogotá-exclusive digital content featuring local culture and community initiatives—proven to increase customer retention by 31% in our pilot program.</w:t>
      </w:r>
    </w:p>
    <w:p>
      <w:pPr>
        <w:numPr>
          <w:ilvl w:val="0"/>
          <w:numId w:val="1004"/>
        </w:numPr>
        <w:pStyle w:val="Compact"/>
      </w:pPr>
      <w:r>
        <w:rPr>
          <w:bCs/>
          <w:b/>
        </w:rPr>
        <w:t xml:space="preserve">Sustainability Integration:</w:t>
      </w:r>
      <w:r>
        <w:t xml:space="preserve"> </w:t>
      </w:r>
      <w:r>
        <w:t xml:space="preserve">Launch Actor's first Colombia-specific eco-packaging initiative using recycled cacao husk (sourced from Cali cooperatives) to align with Bogotá's environmental regulations and consumer values.</w:t>
      </w:r>
    </w:p>
    <w:bookmarkEnd w:id="27"/>
    <w:bookmarkStart w:id="28" w:name="Xf670c95025fa2d864eb6c4174cee1d4c13b77a3"/>
    <w:p>
      <w:pPr>
        <w:pStyle w:val="Heading2"/>
      </w:pPr>
      <w:r>
        <w:t xml:space="preserve">VII. Conclusion: Actor's Position in Colombia Bogotá</w:t>
      </w:r>
    </w:p>
    <w:p>
      <w:pPr>
        <w:pStyle w:val="FirstParagraph"/>
      </w:pPr>
      <w:r>
        <w:t xml:space="preserve">This Sales Report unequivocally confirms that Colombia Bogotá has become a cornerstone of Actor's global growth strategy. The city's dynamic consumer base, digital maturity, and cultural richness have positioned our brand for sustained leadership. With strategic investments focused on localized experiences, logistical innovation, and community integration—while maintaining the premium quality that defines Actor—we project 25%+ YoY growth in Colombia Bogotá for 2024. As a testament to this market's importance, we recommend elevating Colombia Bogotá from "regional hub" to "global innovation lab" within Actor's organizational structure.</w:t>
      </w:r>
    </w:p>
    <w:p>
      <w:pPr>
        <w:pStyle w:val="BodyText"/>
      </w:pPr>
      <w:r>
        <w:t xml:space="preserve">The success of Actor in Colombia Bogotá is not merely transactional; it represents a deep cultural connection that fuels our mission. Every sale made in this city reinforces our commitment to Colombian consumers—and every customer interaction strengthens the bond between Actor and Bogotá's vibrant spirit. This Sales Report serves as both an achievement celebration and a roadmap for future excellence in Latin America's most influential market.</w:t>
      </w:r>
    </w:p>
    <w:p>
      <w:pPr>
        <w:pStyle w:val="BodyText"/>
      </w:pPr>
      <w:r>
        <w:rPr>
          <w:bCs/>
          <w:b/>
        </w:rPr>
        <w:t xml:space="preserve">Prepared by:</w:t>
      </w:r>
      <w:r>
        <w:t xml:space="preserve"> </w:t>
      </w:r>
      <w:r>
        <w:t xml:space="preserve">Global Sales Intelligence Team |</w:t>
      </w:r>
      <w:r>
        <w:t xml:space="preserve"> </w:t>
      </w:r>
      <w:r>
        <w:rPr>
          <w:bCs/>
          <w:b/>
        </w:rPr>
        <w:t xml:space="preserve">Actor International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Colombia Bogotá Market Analysis</dc:title>
  <dc:creator/>
  <dc:language>en</dc:language>
  <cp:keywords/>
  <dcterms:created xsi:type="dcterms:W3CDTF">2025-12-11T01:20:28Z</dcterms:created>
  <dcterms:modified xsi:type="dcterms:W3CDTF">2025-12-11T01:20:28Z</dcterms:modified>
</cp:coreProperties>
</file>

<file path=docProps/custom.xml><?xml version="1.0" encoding="utf-8"?>
<Properties xmlns="http://schemas.openxmlformats.org/officeDocument/2006/custom-properties" xmlns:vt="http://schemas.openxmlformats.org/officeDocument/2006/docPropsVTypes"/>
</file>