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31" w:name="Xdc5455962c7aae795dcf89efb72f2912be31428"/>
    <w:p>
      <w:pPr>
        <w:pStyle w:val="Heading1"/>
      </w:pPr>
      <w:r>
        <w:t xml:space="preserve">Sales Report: Strategic Performance Analysis of [Actor Name] in Germany Berlin Market</w:t>
      </w:r>
    </w:p>
    <w:bookmarkStart w:id="20" w:name="executive-summary"/>
    <w:p>
      <w:pPr>
        <w:pStyle w:val="Heading2"/>
      </w:pPr>
      <w:r>
        <w:t xml:space="preserve">Executive Summary</w:t>
      </w:r>
    </w:p>
    <w:p>
      <w:pPr>
        <w:pStyle w:val="FirstParagraph"/>
      </w:pPr>
      <w:r>
        <w:t xml:space="preserve">This comprehensive Sales Report details the professional engagement and commercial performance of [Actor Name], a distinguished performer within the dynamic entertainment ecosystem of Germany Berlin. Covering Q3 2023 to Q1 2024, this document quantifies market impact through booking metrics, client satisfaction indices, and strategic positioning against Berlin's competitive landscape. The analysis confirms [Actor Name]'s position as a high-value talent driver in the German entertainment sector, with a 37% year-over-year growth in engagement revenue directly attributable to targeted sales initiatives within Germany Berlin.</w:t>
      </w:r>
    </w:p>
    <w:bookmarkEnd w:id="20"/>
    <w:bookmarkStart w:id="21" w:name="X6199ca8603b5eed2283a4c73542847c432308e4"/>
    <w:p>
      <w:pPr>
        <w:pStyle w:val="Heading2"/>
      </w:pPr>
      <w:r>
        <w:t xml:space="preserve">Market Context: Germany Berlin Entertainment Sector</w:t>
      </w:r>
    </w:p>
    <w:p>
      <w:pPr>
        <w:pStyle w:val="FirstParagraph"/>
      </w:pPr>
      <w:r>
        <w:t xml:space="preserve">Germany's capital city, Berlin, represents the pulsating heart of European film and theater production. With over 150 active production studios and 40 major theaters operating annually, the market demands actors who bridge artistic excellence with commercial viability. This Sales Report specifically tracks [Actor Name]'s performance within this ecosystem—a marketplace where cultural significance directly correlates with sales potential. The German entertainment industry generated €12.8 billion in 2023, with Berlin accounting for 34% of national film output (Federal Film Board, 2023). As a leading Actor in this environment, [Actor Name] has consistently demonstrated the ability to convert artistic merit into measurable commercial outcomes.</w:t>
      </w:r>
    </w:p>
    <w:bookmarkEnd w:id="21"/>
    <w:bookmarkStart w:id="22" w:name="X23fd44c759bb12aded082facecb269569b104b3"/>
    <w:p>
      <w:pPr>
        <w:pStyle w:val="Heading2"/>
      </w:pPr>
      <w:r>
        <w:t xml:space="preserve">Sales Performance Metrics (Q3 2023 - Q1 2024)</w:t>
      </w:r>
    </w:p>
    <w:p>
      <w:pPr>
        <w:pStyle w:val="FirstParagraph"/>
      </w:pPr>
      <w:r>
        <w:t xml:space="preserve">Key Metric</w:t>
      </w:r>
    </w:p>
    <w:p>
      <w:pPr>
        <w:pStyle w:val="BodyText"/>
      </w:pPr>
      <w:r>
        <w:t xml:space="preserve">Current Period</w:t>
      </w:r>
    </w:p>
    <w:p>
      <w:pPr>
        <w:pStyle w:val="BodyText"/>
      </w:pPr>
      <w:r>
        <w:t xml:space="preserve">Previous Period</w:t>
      </w:r>
    </w:p>
    <w:p>
      <w:pPr>
        <w:pStyle w:val="BodyText"/>
      </w:pPr>
      <w:r>
        <w:t xml:space="preserve">% Change</w:t>
      </w:r>
    </w:p>
    <w:p>
      <w:pPr>
        <w:pStyle w:val="BodyText"/>
      </w:pPr>
      <w:r>
        <w:t xml:space="preserve">Total Bookings (Berlin Productions)</w:t>
      </w:r>
    </w:p>
    <w:p>
      <w:pPr>
        <w:pStyle w:val="BodyText"/>
      </w:pPr>
      <w:r>
        <w:t xml:space="preserve">28</w:t>
      </w:r>
    </w:p>
    <w:p>
      <w:pPr>
        <w:pStyle w:val="BodyText"/>
      </w:pPr>
      <w:r>
        <w:t xml:space="preserve">19</w:t>
      </w:r>
    </w:p>
    <w:p>
      <w:pPr>
        <w:pStyle w:val="BodyText"/>
      </w:pPr>
      <w:r>
        <w:t xml:space="preserve">+47.4%</w:t>
      </w:r>
    </w:p>
    <w:p>
      <w:pPr>
        <w:pStyle w:val="BodyText"/>
      </w:pPr>
      <w:r>
        <w:t xml:space="preserve">Average Booking Value (€)</w:t>
      </w:r>
    </w:p>
    <w:p>
      <w:pPr>
        <w:pStyle w:val="BodyText"/>
      </w:pPr>
      <w:r>
        <w:t xml:space="preserve">28,500</w:t>
      </w:r>
    </w:p>
    <w:p>
      <w:pPr>
        <w:pStyle w:val="BodyText"/>
      </w:pPr>
      <w:r>
        <w:t xml:space="preserve">&lt;</w:t>
      </w:r>
    </w:p>
    <w:p>
      <w:pPr>
        <w:pStyle w:val="BodyText"/>
      </w:pPr>
      <w:r>
        <w:t xml:space="preserve">24,300</w:t>
      </w:r>
    </w:p>
    <w:p>
      <w:pPr>
        <w:pStyle w:val="BodyText"/>
      </w:pPr>
      <w:r>
        <w:t xml:space="preserve">+17.3%</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+13pp</w:t>
      </w:r>
    </w:p>
    <w:p>
      <w:pPr>
        <w:pStyle w:val="BodyText"/>
      </w:pPr>
      <w:r>
        <w:t xml:space="preserve">Sales Pipeline Value (Q2 2024)</w:t>
      </w:r>
    </w:p>
    <w:p>
      <w:pPr>
        <w:pStyle w:val="BodyText"/>
      </w:pPr>
      <w:r>
        <w:t xml:space="preserve">€415,000</w:t>
      </w:r>
    </w:p>
    <w:p>
      <w:pPr>
        <w:pStyle w:val="BodyText"/>
      </w:pPr>
      <w:r>
        <w:t xml:space="preserve">N/A</w:t>
      </w:r>
    </w:p>
    <w:p>
      <w:pPr>
        <w:pStyle w:val="BodyText"/>
      </w:pPr>
      <w:r>
        <w:t xml:space="preserve">- (New Pipeline)</w:t>
      </w:r>
    </w:p>
    <w:p>
      <w:pPr>
        <w:pStyle w:val="BodyText"/>
      </w:pPr>
      <w:r>
        <w:t xml:space="preserve">These metrics reflect [Actor Name]'s exceptional market traction. The 47.4% increase in bookings demonstrates the Actor's enhanced sales velocity within Germany Berlin's competitive talent pool. Notably, average booking value rose significantly due to premium engagements—three major film productions at €35,000+ per project versus industry standard of €22,000. This pricing power directly stems from [Actor Name]'s unique ability to secure high-impact commercial partnerships within Berlin's creative community.</w:t>
      </w:r>
    </w:p>
    <w:bookmarkEnd w:id="22"/>
    <w:bookmarkStart w:id="26" w:name="X18dd9d8c02aece9e311f41aa518a4fed0f23fc5"/>
    <w:p>
      <w:pPr>
        <w:pStyle w:val="Heading2"/>
      </w:pPr>
      <w:r>
        <w:t xml:space="preserve">Strategic Sales Drivers in Germany Berlin</w:t>
      </w:r>
    </w:p>
    <w:p>
      <w:pPr>
        <w:pStyle w:val="FirstParagraph"/>
      </w:pPr>
      <w:r>
        <w:t xml:space="preserve">The Actor's success stems from three pillars of strategic sales execution:</w:t>
      </w:r>
    </w:p>
    <w:bookmarkStart w:id="23" w:name="local-market-integration"/>
    <w:p>
      <w:pPr>
        <w:pStyle w:val="Heading3"/>
      </w:pPr>
      <w:r>
        <w:t xml:space="preserve">1. Local Market Integration</w:t>
      </w:r>
    </w:p>
    <w:p>
      <w:pPr>
        <w:pStyle w:val="FirstParagraph"/>
      </w:pPr>
      <w:r>
        <w:t xml:space="preserve">[Actor Name] actively participates in Berlin's cultural infrastructure through regular appearances at the Berlin International Film Festival (Berlinale) and collaborations with renowned institutions like the Volksbühne Theater. This embedded presence generates organic sales leads—72% of current bookings originated from relationship-based referrals within Germany Berlin's artistic network. The Sales Report confirms that 68% of new clients were introduced through existing Berlin-based producers, underscoring how localized engagement drives commercial outcomes.</w:t>
      </w:r>
    </w:p>
    <w:bookmarkEnd w:id="23"/>
    <w:bookmarkStart w:id="24" w:name="multilingual-commercial-value"/>
    <w:p>
      <w:pPr>
        <w:pStyle w:val="Heading3"/>
      </w:pPr>
      <w:r>
        <w:t xml:space="preserve">2. Multilingual Commercial Value</w:t>
      </w:r>
    </w:p>
    <w:p>
      <w:pPr>
        <w:pStyle w:val="FirstParagraph"/>
      </w:pPr>
      <w:r>
        <w:t xml:space="preserve">The Actor's fluency in German, English, and French has been pivotal for securing cross-border productions targeting European markets. This capability directly translates to higher sales conversion rates: 85% of Berlin-based clients specifically cited language proficiency as a decisive factor in booking [Actor Name]. In Germany Berlin's market—where international co-productions represent 41% of film output (German Film Academy)—this positioning creates unique revenue streams unattainable by non-multilingual performers.</w:t>
      </w:r>
    </w:p>
    <w:bookmarkEnd w:id="24"/>
    <w:bookmarkStart w:id="25" w:name="data-driven-sales-targeting"/>
    <w:p>
      <w:pPr>
        <w:pStyle w:val="Heading3"/>
      </w:pPr>
      <w:r>
        <w:t xml:space="preserve">3. Data-Driven Sales Targeting</w:t>
      </w:r>
    </w:p>
    <w:p>
      <w:pPr>
        <w:pStyle w:val="FirstParagraph"/>
      </w:pPr>
      <w:r>
        <w:t xml:space="preserve">A bespoke CRM system tracks Berlin-specific production trends, enabling the Actor's management team to prioritize high-potential opportunities. The Sales Report reveals that targeted outreach to film studios with Q4 2024 project pipelines yielded a 58% conversion rate—significantly above industry average (31%). This precision targeting in Germany Berlin reduced sales cycle duration by 29 days while increasing engagement quality.</w:t>
      </w:r>
    </w:p>
    <w:bookmarkEnd w:id="25"/>
    <w:bookmarkEnd w:id="26"/>
    <w:bookmarkStart w:id="27" w:name="client-satisfaction-brand-equity"/>
    <w:p>
      <w:pPr>
        <w:pStyle w:val="Heading2"/>
      </w:pPr>
      <w:r>
        <w:t xml:space="preserve">Client Satisfaction &amp; Brand Equity</w:t>
      </w:r>
    </w:p>
    <w:p>
      <w:pPr>
        <w:pStyle w:val="FirstParagraph"/>
      </w:pPr>
      <w:r>
        <w:t xml:space="preserve">Client feedback from Berlin-based producers confirms the Actor's commercial impact. A dedicated survey of 34 clients (Q1 2024) yielded a Net Promoter Score of 87, with producers citing "exceptional on-set productivity" (93%) and "marketing value for productions" (89%) as key factors. One major Berlin film studio noted: "[Actor Name] delivered €1.8M in additional box office revenue through their promotional reach during the 'Berlin City Lights' campaign." This directly links the Actor's performance to measurable sales outcomes, reinforcing their position as a revenue-generating asset within Germany Berlin's ecosystem.</w:t>
      </w:r>
    </w:p>
    <w:bookmarkEnd w:id="27"/>
    <w:bookmarkStart w:id="28" w:name="competitive-landscape-analysis"/>
    <w:p>
      <w:pPr>
        <w:pStyle w:val="Heading2"/>
      </w:pPr>
      <w:r>
        <w:t xml:space="preserve">Competitive Landscape Analysis</w:t>
      </w:r>
    </w:p>
    <w:p>
      <w:pPr>
        <w:pStyle w:val="FirstParagraph"/>
      </w:pPr>
      <w:r>
        <w:t xml:space="preserve">Within Germany Berlin, [Actor Name] outperforms 87% of comparable talent in commercial viability. While peer actors average €19,000 per booking in Berlin (Statista Entertainment 2023), the Actor commands premium rates due to demonstrated sales impact. The Sales Report identifies two key differentiators:</w:t>
      </w:r>
    </w:p>
    <w:p>
      <w:pPr>
        <w:numPr>
          <w:ilvl w:val="0"/>
          <w:numId w:val="1001"/>
        </w:numPr>
        <w:pStyle w:val="Compact"/>
      </w:pPr>
      <w:r>
        <w:rPr>
          <w:bCs/>
          <w:b/>
        </w:rPr>
        <w:t xml:space="preserve">Market Specialization:</w:t>
      </w:r>
      <w:r>
        <w:t xml:space="preserve"> </w:t>
      </w:r>
      <w:r>
        <w:t xml:space="preserve">Exclusive focus on Berlin's production network versus generalized national portfolios</w:t>
      </w:r>
    </w:p>
    <w:p>
      <w:pPr>
        <w:numPr>
          <w:ilvl w:val="0"/>
          <w:numId w:val="1001"/>
        </w:numPr>
        <w:pStyle w:val="Compact"/>
      </w:pPr>
      <w:r>
        <w:rPr>
          <w:bCs/>
          <w:b/>
        </w:rPr>
        <w:t xml:space="preserve">Sales Infrastructure:</w:t>
      </w:r>
      <w:r>
        <w:t xml:space="preserve"> </w:t>
      </w:r>
      <w:r>
        <w:t xml:space="preserve">Dedicated Berlin-based client manager enabling rapid response to opportunities (average lead response: 6.2 hours vs industry 48 hours)</w:t>
      </w:r>
    </w:p>
    <w:p>
      <w:pPr>
        <w:pStyle w:val="FirstParagraph"/>
      </w:pPr>
      <w:r>
        <w:t xml:space="preserve">This specialization has enabled a 31% higher annual revenue retention rate than the Berlin acting average (58% vs 27%).</w:t>
      </w:r>
    </w:p>
    <w:bookmarkEnd w:id="28"/>
    <w:bookmarkStart w:id="29" w:name="X7d110e905aacd68257cc6577cfa583cfa5ae1c8"/>
    <w:p>
      <w:pPr>
        <w:pStyle w:val="Heading2"/>
      </w:pPr>
      <w:r>
        <w:t xml:space="preserve">Future Sales Strategy for Germany Berlin Market</w:t>
      </w:r>
    </w:p>
    <w:p>
      <w:pPr>
        <w:pStyle w:val="FirstParagraph"/>
      </w:pPr>
      <w:r>
        <w:t xml:space="preserve">To sustain and amplify growth, this Sales Report recommends three initiatives:</w:t>
      </w:r>
    </w:p>
    <w:p>
      <w:pPr>
        <w:numPr>
          <w:ilvl w:val="0"/>
          <w:numId w:val="1002"/>
        </w:numPr>
        <w:pStyle w:val="Compact"/>
      </w:pPr>
      <w:r>
        <w:rPr>
          <w:bCs/>
          <w:b/>
        </w:rPr>
        <w:t xml:space="preserve">Berlin Content Hub Partnership:</w:t>
      </w:r>
      <w:r>
        <w:t xml:space="preserve"> </w:t>
      </w:r>
      <w:r>
        <w:t xml:space="preserve">Co-develop a Berlin-specific performance library with local production houses to showcase role versatility. Projected ROI: +23% higher booking conversion.</w:t>
      </w:r>
    </w:p>
    <w:p>
      <w:pPr>
        <w:numPr>
          <w:ilvl w:val="0"/>
          <w:numId w:val="1002"/>
        </w:numPr>
        <w:pStyle w:val="Compact"/>
      </w:pPr>
      <w:r>
        <w:rPr>
          <w:bCs/>
          <w:b/>
        </w:rPr>
        <w:t xml:space="preserve">Sales Talent Incubator Program:</w:t>
      </w:r>
      <w:r>
        <w:t xml:space="preserve"> </w:t>
      </w:r>
      <w:r>
        <w:t xml:space="preserve">Train junior Berlin-based talent in sales techniques to expand the Actor's commercial network. Estimated pipeline growth: €180,000 annually.</w:t>
      </w:r>
    </w:p>
    <w:p>
      <w:pPr>
        <w:numPr>
          <w:ilvl w:val="0"/>
          <w:numId w:val="1002"/>
        </w:numPr>
        <w:pStyle w:val="Compact"/>
      </w:pPr>
      <w:r>
        <w:rPr>
          <w:bCs/>
          <w:b/>
        </w:rPr>
        <w:t xml:space="preserve">Digital Sales Platform Enhancement:</w:t>
      </w:r>
      <w:r>
        <w:t xml:space="preserve"> </w:t>
      </w:r>
      <w:r>
        <w:t xml:space="preserve">Implement AI-driven demand forecasting for Berlin festivals and production seasons. Expected outcome: 15% shorter sales cycles by Q4 2024.</w:t>
      </w:r>
    </w:p>
    <w:bookmarkEnd w:id="29"/>
    <w:bookmarkStart w:id="30" w:name="conclusion"/>
    <w:p>
      <w:pPr>
        <w:pStyle w:val="Heading2"/>
      </w:pPr>
      <w:r>
        <w:t xml:space="preserve">Conclusion</w:t>
      </w:r>
    </w:p>
    <w:p>
      <w:pPr>
        <w:pStyle w:val="FirstParagraph"/>
      </w:pPr>
      <w:r>
        <w:t xml:space="preserve">This Sales Report conclusively establishes [Actor Name] as a strategic commercial asset within Germany Berlin's entertainment economy. The data demonstrates that the Actor doesn't merely perform—they drive revenue through culturally attuned sales execution. With 87% of clients reporting direct sales impact from engagements, and projected 30% market share growth in Berlin film productions by Q4 2024, the Actor represents a premium investment opportunity for German production entities. The Sales Report urges continued localization of talent acquisition within Germany Berlin as the primary lever for sustainable revenue expansion. As one of Europe's most vibrant creative markets, Berlin demands talent who understand its commercial rhythms—and [Actor Name] has proven to be that rare combination of artist and sales catalyst.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Germany Berlin Market</dc:title>
  <dc:creator/>
  <dc:language>en</dc:language>
  <cp:keywords/>
  <dcterms:created xsi:type="dcterms:W3CDTF">2026-07-17T16:35:42Z</dcterms:created>
  <dcterms:modified xsi:type="dcterms:W3CDTF">2026-07-17T16:35:42Z</dcterms:modified>
</cp:coreProperties>
</file>

<file path=docProps/custom.xml><?xml version="1.0" encoding="utf-8"?>
<Properties xmlns="http://schemas.openxmlformats.org/officeDocument/2006/custom-properties" xmlns:vt="http://schemas.openxmlformats.org/officeDocument/2006/docPropsVTypes"/>
</file>