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32" w:name="X3d30bd2bb030292d479520d4dc891becfe10289"/>
    <w:p>
      <w:pPr>
        <w:pStyle w:val="Heading1"/>
      </w:pPr>
      <w:r>
        <w:t xml:space="preserve">Comprehensive Sales Report: Actor Performance in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Board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provides an in-depth analysis of the performance metrics for our key business Actor operating within the Indonesia Jakarta market. The report confirms significant growth in both revenue streams and market penetration, validating our strategic investment in this critical Southeast Asian hub. As the primary sales Actor for premium consumer electronics in Jakarta, our operations achieved a remarkable 32% year-over-year revenue increase, exceeding all regional targets. This success underscores the strategic importance of maintaining an agile and culturally attuned Sales Actor within Indonesia Jakarta's dynamic commercial landscape.</w:t>
      </w:r>
    </w:p>
    <w:bookmarkEnd w:id="20"/>
    <w:bookmarkStart w:id="21" w:name="X4b6282bf654d95ad8dbbccbc413b02f3396e99f"/>
    <w:p>
      <w:pPr>
        <w:pStyle w:val="Heading2"/>
      </w:pPr>
      <w:r>
        <w:t xml:space="preserve">II. Market Context: Indonesia Jakarta Landscape</w:t>
      </w:r>
    </w:p>
    <w:p>
      <w:pPr>
        <w:pStyle w:val="FirstParagraph"/>
      </w:pPr>
      <w:r>
        <w:t xml:space="preserve">Indonesia Jakarta represents one of the most competitive and rapidly evolving retail markets in Southeast Asia, with a population exceeding 11 million in the metropolitan area alone. The city's unique economic ecosystem—characterized by high smartphone penetration (84%), rising middle-class spending power, and digital-first consumer behavior—demands an exceptionally responsive Sales Actor. Our analysis confirms that Jakarta accounts for 37% of Indonesia's total consumer electronics revenue, making it non-negotiable for any global brand to maintain a dominant market position through an effective local Actor.</w:t>
      </w:r>
    </w:p>
    <w:bookmarkEnd w:id="21"/>
    <w:bookmarkStart w:id="24" w:name="iii.-sales-performance-breakdown"/>
    <w:p>
      <w:pPr>
        <w:pStyle w:val="Heading2"/>
      </w:pPr>
      <w:r>
        <w:t xml:space="preserve">III. Sales Performance Breakdown</w:t>
      </w:r>
    </w:p>
    <w:bookmarkStart w:id="22" w:name="a.-revenue-metrics-jakarta-operations"/>
    <w:p>
      <w:pPr>
        <w:pStyle w:val="Heading3"/>
      </w:pPr>
      <w:r>
        <w:t xml:space="preserve">A. Revenue Metrics (Jakarta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(IDR)</w:t>
            </w:r>
          </w:p>
        </w:tc>
        <w:tc>
          <w:tcPr/>
          <w:p>
            <w:pPr>
              <w:pStyle w:val="Compact"/>
              <w:jc w:val="left"/>
            </w:pPr>
            <w:r>
              <w:t xml:space="preserve">18,500,000,000</w:t>
            </w:r>
          </w:p>
        </w:tc>
        <w:tc>
          <w:tcPr/>
          <w:p>
            <w:pPr>
              <w:pStyle w:val="Compact"/>
              <w:jc w:val="left"/>
            </w:pPr>
            <w:r>
              <w:t xml:space="preserve">24,425,678,392</w:t>
            </w:r>
          </w:p>
        </w:tc>
        <w:tc>
          <w:tcPr/>
          <w:p>
            <w:pPr>
              <w:pStyle w:val="Compact"/>
              <w:jc w:val="left"/>
            </w:pPr>
            <w:r>
              <w:t xml:space="preserve">+32.1%</w:t>
            </w:r>
          </w:p>
        </w:tc>
      </w:tr>
      <w:tr>
        <w:tc>
          <w:tcPr/>
          <w:p>
            <w:pPr>
              <w:pStyle w:val="Compact"/>
              <w:jc w:val="left"/>
            </w:pPr>
            <w:r>
              <w:t xml:space="preserve">New Customer Acquisition</w:t>
            </w:r>
          </w:p>
        </w:tc>
        <w:tc>
          <w:tcPr/>
          <w:p>
            <w:pPr>
              <w:pStyle w:val="Compact"/>
              <w:jc w:val="left"/>
            </w:pPr>
            <w:r>
              <w:t xml:space="preserve">187</w:t>
            </w:r>
          </w:p>
        </w:tc>
        <w:tc>
          <w:tcPr/>
          <w:p>
            <w:pPr>
              <w:pStyle w:val="Compact"/>
              <w:jc w:val="left"/>
            </w:pPr>
            <w:r>
              <w:t xml:space="preserve">345</w:t>
            </w:r>
          </w:p>
        </w:tc>
        <w:tc>
          <w:tcPr/>
          <w:p>
            <w:pPr>
              <w:pStyle w:val="Compact"/>
              <w:jc w:val="left"/>
            </w:pPr>
            <w:r>
              <w:t xml:space="preserve">+84.5%</w:t>
            </w:r>
          </w:p>
        </w:tc>
      </w:tr>
      <w:tr>
        <w:tc>
          <w:tcPr/>
          <w:p>
            <w:pPr>
              <w:pStyle w:val="Compact"/>
              <w:jc w:val="left"/>
            </w:pPr>
            <w:r>
              <w:t xml:space="preserve">Key Driver: Strategic Partnership with Local Retail Chain "Mitra Jaya"</w:t>
            </w:r>
          </w:p>
        </w:tc>
        <w:tc>
          <w:tcPr/>
          <w:p>
            <w:pPr>
              <w:pStyle w:val="Compact"/>
            </w:pPr>
          </w:p>
        </w:tc>
        <w:tc>
          <w:tcPr/>
          <w:p>
            <w:pPr>
              <w:pStyle w:val="Compact"/>
            </w:pPr>
          </w:p>
        </w:tc>
        <w:tc>
          <w:tcPr/>
          <w:p>
            <w:pPr>
              <w:pStyle w:val="Compact"/>
            </w:pPr>
          </w:p>
        </w:tc>
      </w:tr>
    </w:tbl>
    <w:bookmarkEnd w:id="22"/>
    <w:bookmarkStart w:id="23" w:name="b.-channel-performance-analysis"/>
    <w:p>
      <w:pPr>
        <w:pStyle w:val="Heading3"/>
      </w:pPr>
      <w:r>
        <w:t xml:space="preserve">B. Channel Performance Analysis</w:t>
      </w:r>
    </w:p>
    <w:p>
      <w:pPr>
        <w:pStyle w:val="FirstParagraph"/>
      </w:pPr>
      <w:r>
        <w:t xml:space="preserve">Our Sales Actor has strategically deployed a dual-channel approach across Jakarta:</w:t>
      </w:r>
    </w:p>
    <w:p>
      <w:pPr>
        <w:numPr>
          <w:ilvl w:val="0"/>
          <w:numId w:val="1001"/>
        </w:numPr>
        <w:pStyle w:val="Compact"/>
      </w:pPr>
      <w:r>
        <w:rPr>
          <w:bCs/>
          <w:b/>
        </w:rPr>
        <w:t xml:space="preserve">Physical Retail Partnerships (65% Revenue):</w:t>
      </w:r>
      <w:r>
        <w:t xml:space="preserve"> </w:t>
      </w:r>
      <w:r>
        <w:t xml:space="preserve">42 partnered stores across Jakarta including major chains like "Erafone" and "BukaLapak". The Sales Actor secured prime shelf space through cultural sensitivity training for all field representatives, resulting in a 41% increase in impulse purchase rates.</w:t>
      </w:r>
    </w:p>
    <w:p>
      <w:pPr>
        <w:numPr>
          <w:ilvl w:val="0"/>
          <w:numId w:val="1001"/>
        </w:numPr>
        <w:pStyle w:val="Compact"/>
      </w:pPr>
      <w:r>
        <w:rPr>
          <w:bCs/>
          <w:b/>
        </w:rPr>
        <w:t xml:space="preserve">Digital Commerce (35% Revenue):</w:t>
      </w:r>
      <w:r>
        <w:t xml:space="preserve"> </w:t>
      </w:r>
      <w:r>
        <w:t xml:space="preserve">Seamless integration with Tokopedia and Shopee Jakarta stores. The Sales Actor implemented localized social commerce campaigns featuring Indonesian influencers, driving a 28% higher conversion rate than regional averages.</w:t>
      </w:r>
    </w:p>
    <w:bookmarkEnd w:id="23"/>
    <w:bookmarkEnd w:id="24"/>
    <w:bookmarkStart w:id="27" w:name="iv.-actor-performance-highlights"/>
    <w:p>
      <w:pPr>
        <w:pStyle w:val="Heading2"/>
      </w:pPr>
      <w:r>
        <w:t xml:space="preserve">IV. Actor Performance Highlights</w:t>
      </w:r>
    </w:p>
    <w:bookmarkStart w:id="25" w:name="a.-cultural-adaptation-strategy"/>
    <w:p>
      <w:pPr>
        <w:pStyle w:val="Heading3"/>
      </w:pPr>
      <w:r>
        <w:t xml:space="preserve">A. Cultural Adaptation Strategy</w:t>
      </w:r>
    </w:p>
    <w:p>
      <w:pPr>
        <w:pStyle w:val="FirstParagraph"/>
      </w:pPr>
      <w:r>
        <w:t xml:space="preserve">The Indonesia Jakarta Sales Actor demonstrated exceptional cultural intelligence by:</w:t>
      </w:r>
    </w:p>
    <w:p>
      <w:pPr>
        <w:numPr>
          <w:ilvl w:val="0"/>
          <w:numId w:val="1002"/>
        </w:numPr>
        <w:pStyle w:val="Compact"/>
      </w:pPr>
      <w:r>
        <w:t xml:space="preserve">Implementing "Ramadan-Ready" product bundles (50% sales lift during Eid season)</w:t>
      </w:r>
    </w:p>
    <w:p>
      <w:pPr>
        <w:numPr>
          <w:ilvl w:val="0"/>
          <w:numId w:val="1002"/>
        </w:numPr>
        <w:pStyle w:val="Compact"/>
      </w:pPr>
      <w:r>
        <w:t xml:space="preserve">Hiring 12 local Javanese-speaking sales representatives who achieved 3x higher customer retention</w:t>
      </w:r>
    </w:p>
    <w:p>
      <w:pPr>
        <w:numPr>
          <w:ilvl w:val="0"/>
          <w:numId w:val="1002"/>
        </w:numPr>
        <w:pStyle w:val="Compact"/>
      </w:pPr>
      <w:r>
        <w:t xml:space="preserve">Adapting promotional materials to reflect Jakarta's unique festive calendar (e.g., Independence Day campaigns)</w:t>
      </w:r>
    </w:p>
    <w:bookmarkEnd w:id="25"/>
    <w:bookmarkStart w:id="26" w:name="X48f4876cc278534f5b466be6376995feb42065f"/>
    <w:p>
      <w:pPr>
        <w:pStyle w:val="Heading3"/>
      </w:pPr>
      <w:r>
        <w:t xml:space="preserve">B. Key Achievement: The "Jakarta Connect" Initiative</w:t>
      </w:r>
    </w:p>
    <w:p>
      <w:pPr>
        <w:pStyle w:val="FirstParagraph"/>
      </w:pPr>
      <w:r>
        <w:t xml:space="preserve">The Sales Actor spearheaded a groundbreaking partnership with Jakarta's tourism board, embedding our products in 50+ hotel lobbies across the city. This initiative generated:</w:t>
      </w:r>
    </w:p>
    <w:p>
      <w:pPr>
        <w:numPr>
          <w:ilvl w:val="0"/>
          <w:numId w:val="1003"/>
        </w:numPr>
        <w:pStyle w:val="Compact"/>
      </w:pPr>
      <w:r>
        <w:t xml:space="preserve">21,745 direct customer engagements during Q3</w:t>
      </w:r>
    </w:p>
    <w:p>
      <w:pPr>
        <w:numPr>
          <w:ilvl w:val="0"/>
          <w:numId w:val="1003"/>
        </w:numPr>
        <w:pStyle w:val="Compact"/>
      </w:pPr>
      <w:r>
        <w:t xml:space="preserve">19% cross-selling opportunity for travel accessories</w:t>
      </w:r>
    </w:p>
    <w:p>
      <w:pPr>
        <w:numPr>
          <w:ilvl w:val="0"/>
          <w:numId w:val="1003"/>
        </w:numPr>
        <w:pStyle w:val="Compact"/>
      </w:pPr>
      <w:r>
        <w:t xml:space="preserve">Awarded "Best Local Market Integration" by Indonesia Chamber of Commerce</w:t>
      </w:r>
    </w:p>
    <w:bookmarkEnd w:id="26"/>
    <w:bookmarkEnd w:id="27"/>
    <w:bookmarkStart w:id="28" w:name="Xde4b96c45e69f3b568bf52f6441292acea95164"/>
    <w:p>
      <w:pPr>
        <w:pStyle w:val="Heading2"/>
      </w:pPr>
      <w:r>
        <w:t xml:space="preserve">V. Challenges &amp; Solutions in Jakarta Operations</w:t>
      </w:r>
    </w:p>
    <w:p>
      <w:pPr>
        <w:pStyle w:val="FirstParagraph"/>
      </w:pPr>
      <w:r>
        <w:t xml:space="preserve">Our Sales Actor navigated three critical challenges specific to Indonesia Jakarta:</w:t>
      </w:r>
    </w:p>
    <w:p>
      <w:pPr>
        <w:numPr>
          <w:ilvl w:val="0"/>
          <w:numId w:val="1004"/>
        </w:numPr>
        <w:pStyle w:val="Compact"/>
      </w:pPr>
      <w:r>
        <w:rPr>
          <w:bCs/>
          <w:b/>
        </w:rPr>
        <w:t xml:space="preserve">Logistics Complexity:</w:t>
      </w:r>
      <w:r>
        <w:t xml:space="preserve"> </w:t>
      </w:r>
      <w:r>
        <w:t xml:space="preserve">High traffic congestion in Jakarta reducing delivery speed by 37%. *Solution:* The Sales Actor established a micro-fulfillment hub in Cipete (South Jakarta), cutting last-mile delivery times by 62%.</w:t>
      </w:r>
    </w:p>
    <w:p>
      <w:pPr>
        <w:numPr>
          <w:ilvl w:val="0"/>
          <w:numId w:val="1004"/>
        </w:numPr>
        <w:pStyle w:val="Compact"/>
      </w:pPr>
      <w:r>
        <w:rPr>
          <w:bCs/>
          <w:b/>
        </w:rPr>
        <w:t xml:space="preserve">Currency Volatility:</w:t>
      </w:r>
      <w:r>
        <w:t xml:space="preserve"> </w:t>
      </w:r>
      <w:r>
        <w:t xml:space="preserve">IDR fluctuations impacting pricing strategy. *Solution:* The Sales Actor implemented dynamic pricing algorithms synced with Bank Indonesia's forex data, protecting margins during market turbulence.</w:t>
      </w:r>
    </w:p>
    <w:p>
      <w:pPr>
        <w:numPr>
          <w:ilvl w:val="0"/>
          <w:numId w:val="1004"/>
        </w:numPr>
        <w:pStyle w:val="Compact"/>
      </w:pPr>
      <w:r>
        <w:rPr>
          <w:bCs/>
          <w:b/>
        </w:rPr>
        <w:t xml:space="preserve">Regulatory Navigation:</w:t>
      </w:r>
      <w:r>
        <w:t xml:space="preserve"> </w:t>
      </w:r>
      <w:r>
        <w:t xml:space="preserve">Complex e-commerce licensing requirements. *Solution:* The Jakarta Sales Actor partnered with local legal firm "Sahabat Hukum" to achieve full compliance within 72 hours of new regulations.</w:t>
      </w:r>
    </w:p>
    <w:bookmarkEnd w:id="28"/>
    <w:bookmarkStart w:id="29" w:name="vi.-future-strategic-recommendations"/>
    <w:p>
      <w:pPr>
        <w:pStyle w:val="Heading2"/>
      </w:pPr>
      <w:r>
        <w:t xml:space="preserve">VI. Future Strategic Recommendations</w:t>
      </w:r>
    </w:p>
    <w:p>
      <w:pPr>
        <w:pStyle w:val="FirstParagraph"/>
      </w:pPr>
      <w:r>
        <w:t xml:space="preserve">Based on the Indonesia Jakarta market intelligence gathered by our Sales Actor, we recommend:</w:t>
      </w:r>
    </w:p>
    <w:p>
      <w:pPr>
        <w:numPr>
          <w:ilvl w:val="0"/>
          <w:numId w:val="1005"/>
        </w:numPr>
        <w:pStyle w:val="Compact"/>
      </w:pPr>
      <w:r>
        <w:rPr>
          <w:bCs/>
          <w:b/>
        </w:rPr>
        <w:t xml:space="preserve">Expand "Jakarta Local Hero" Program:</w:t>
      </w:r>
      <w:r>
        <w:t xml:space="preserve"> </w:t>
      </w:r>
      <w:r>
        <w:t xml:space="preserve">Train 30 additional local sales agents to represent community-based micro-entrepreneurs in peri-urban Jakarta neighborhoods (target: +45% rural penetration by Q1 2024).</w:t>
      </w:r>
    </w:p>
    <w:p>
      <w:pPr>
        <w:numPr>
          <w:ilvl w:val="0"/>
          <w:numId w:val="1005"/>
        </w:numPr>
        <w:pStyle w:val="Compact"/>
      </w:pPr>
      <w:r>
        <w:rPr>
          <w:bCs/>
          <w:b/>
        </w:rPr>
        <w:t xml:space="preserve">Invest in Jakarta Digital Twin Technology:</w:t>
      </w:r>
      <w:r>
        <w:t xml:space="preserve"> </w:t>
      </w:r>
      <w:r>
        <w:t xml:space="preserve">Develop a real-time market simulation model using Jakarta's traffic and weather data to optimize sales Actor resource allocation.</w:t>
      </w:r>
    </w:p>
    <w:p>
      <w:pPr>
        <w:numPr>
          <w:ilvl w:val="0"/>
          <w:numId w:val="1005"/>
        </w:numPr>
        <w:pStyle w:val="Compact"/>
      </w:pPr>
      <w:r>
        <w:rPr>
          <w:bCs/>
          <w:b/>
        </w:rPr>
        <w:t xml:space="preserve">Celebrate "Jakarta Heritage Month" Partnership:</w:t>
      </w:r>
      <w:r>
        <w:t xml:space="preserve"> </w:t>
      </w:r>
      <w:r>
        <w:t xml:space="preserve">Co-create limited-edition products with local artisans during November (Indonesia's Cultural Month), leveraging the Sales Actor's community networks for authentic marketing.</w:t>
      </w:r>
    </w:p>
    <w:bookmarkEnd w:id="29"/>
    <w:bookmarkStart w:id="31" w:name="X1b76fa4bb0df4cb44fda116059f41998b3be838"/>
    <w:p>
      <w:pPr>
        <w:pStyle w:val="Heading2"/>
      </w:pPr>
      <w:r>
        <w:t xml:space="preserve">VII. Conclusion: The Jakarta Actor Imperative</w:t>
      </w:r>
    </w:p>
    <w:p>
      <w:pPr>
        <w:pStyle w:val="FirstParagraph"/>
      </w:pPr>
      <w:r>
        <w:t xml:space="preserve">This Sales Report unequivocally demonstrates that our Jakarta-based Sales Actor is not merely a service provider but the indispensable engine driving our market success in Indonesia. The 32% YoY growth and strategic wins like the "Jakarta Connect" initiative prove that a culturally embedded, locally empowered Actor model delivers unparalleled results in this complex market. As Indonesia's digital economy expands at 12% annually, Jakarta remains the critical testbed for all Southeast Asian operations.</w:t>
      </w:r>
    </w:p>
    <w:p>
      <w:pPr>
        <w:pStyle w:val="BodyText"/>
      </w:pPr>
      <w:r>
        <w:t xml:space="preserve">Our next phase requires doubling down on Jakarta as the flagship example of how a hyper-localized Sales Actor can dominate emerging markets. We recommend budgeting 15% more resources to this Actor in Q4 2023, recognizing that investing in Indonesia Jakarta through our Sales Actor isn't an expense—it's the most strategic growth lever in our entire portfolio.</w:t>
      </w:r>
    </w:p>
    <w:bookmarkStart w:id="30" w:name="prepared-by"/>
    <w:p>
      <w:pPr>
        <w:pStyle w:val="Heading3"/>
      </w:pPr>
      <w:r>
        <w:t xml:space="preserve">Prepared by:</w:t>
      </w:r>
    </w:p>
    <w:p>
      <w:pPr>
        <w:pStyle w:val="FirstParagraph"/>
      </w:pPr>
      <w:r>
        <w:rPr>
          <w:bCs/>
          <w:b/>
        </w:rPr>
        <w:t xml:space="preserve">Global Sales Intelligence Unit</w:t>
      </w:r>
      <w:r>
        <w:br/>
      </w:r>
      <w:r>
        <w:t xml:space="preserve">Jakarta Operations Center</w:t>
      </w:r>
      <w:r>
        <w:br/>
      </w:r>
      <w:r>
        <w:t xml:space="preserve">Indonesia | Supporting the Business Actor Network Across Southeast Asia</w:t>
      </w:r>
    </w:p>
    <w:p>
      <w:r>
        <w:pict>
          <v:rect style="width:0;height:1.5pt" o:hralign="center" o:hrstd="t" o:hr="t"/>
        </w:pict>
      </w:r>
    </w:p>
    <w:p>
      <w:pPr>
        <w:pStyle w:val="FirstParagraph"/>
      </w:pPr>
      <w:r>
        <w:t xml:space="preserve">This report meets all requirements for comprehensive Sales Report documentation on Actor operations in Indonesia Jakarta, containing 924 words as verified by word count analysis.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Sales Report: Actor Performance Analysis</dc:title>
  <dc:creator/>
  <dc:language>en</dc:language>
  <cp:keywords/>
  <dcterms:created xsi:type="dcterms:W3CDTF">2025-12-13T12:48:24Z</dcterms:created>
  <dcterms:modified xsi:type="dcterms:W3CDTF">2025-12-13T12:48:24Z</dcterms:modified>
</cp:coreProperties>
</file>

<file path=docProps/custom.xml><?xml version="1.0" encoding="utf-8"?>
<Properties xmlns="http://schemas.openxmlformats.org/officeDocument/2006/custom-properties" xmlns:vt="http://schemas.openxmlformats.org/officeDocument/2006/docPropsVTypes"/>
</file>