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  <w:r>
        <w:t xml:space="preserve"> </w:t>
      </w:r>
      <w:r>
        <w:t xml:space="preserve">Market</w:t>
      </w:r>
    </w:p>
    <w:bookmarkStart w:id="27" w:name="X6de2b0b3e904e406470481bcbbcd4dcaebc1cab"/>
    <w:p>
      <w:pPr>
        <w:pStyle w:val="Heading1"/>
      </w:pPr>
      <w:r>
        <w:t xml:space="preserve">SALES REPORT FOR ACTOR PRODUCT SOLUTIONS IN TEHRAN, IRAN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Sales Leadership Team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1 - September 30)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Middle East Market Intelligence Division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for Iran Tehran demonstrates exceptional market penetration with a 142% YoY growth in product adoption. This report details the strategic execution of our flagship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platform – an AI-driven customer engagement solution tailored for Persian-speaking enterprises – across Tehran's dynamic business ecosystem. Despite complex regulatory environments, the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sales team achieved record-breaking performance with 37 new enterprise contracts secured in Q3 alone, representing a 28% increase over Q2. The Tehran market has emerged as our highest-value regional hub for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solutions, contributing 63% of all revenue from Iran.</w:t>
      </w:r>
    </w:p>
    <w:bookmarkEnd w:id="20"/>
    <w:bookmarkStart w:id="21" w:name="market-context-strategic-positioning"/>
    <w:p>
      <w:pPr>
        <w:pStyle w:val="Heading2"/>
      </w:pPr>
      <w:r>
        <w:t xml:space="preserve">Market Context &amp; Strategic Positioning</w:t>
      </w:r>
    </w:p>
    <w:p>
      <w:pPr>
        <w:pStyle w:val="FirstParagraph"/>
      </w:pPr>
      <w:r>
        <w:t xml:space="preserve">Tehran's business landscape presents unique opportunities for 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platform. With over 65,000 SMEs operating in Tehran (per Iran Chamber of Commerce data), there's a critical need for localized digital engagement tools. Unlike generic international CRM solutions, our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product was specifically engineered to address Iranian market nuances: full Farsi language support with Persian script optimization, compliance with Iran's Data Protection Regulations (2021), and integration with local payment gateways like ZarinPal. 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confirms that 89% of Tehran-based clients selected our solution specifically for these localized features – a key differentiator absent in competing products.</w:t>
      </w:r>
    </w:p>
    <w:bookmarkEnd w:id="21"/>
    <w:bookmarkStart w:id="22" w:name="performance-highlights"/>
    <w:p>
      <w:pPr>
        <w:pStyle w:val="Heading2"/>
      </w:pPr>
      <w:r>
        <w:t xml:space="preserve">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Enterprise Contracts (Tehran)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(Tehran)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$352,700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+6.7 pts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Cycle 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-27.6%</w:t>
            </w:r>
          </w:p>
        </w:tc>
      </w:tr>
    </w:tbl>
    <w:p>
      <w:pPr>
        <w:pStyle w:val="BodyText"/>
      </w:pPr>
      <w:r>
        <w:t xml:space="preserve">Crucially, the Tehran market drove 73% of all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within Iran – a testament to the city's concentration of decision-makers and digital transformation initiatives. The Sales Report identifies two key catalysts: (1) Strategic partnerships with Tehran-based tech incubators like "Tehran Digital Hub," and (2) Targeted marketing at Tehran International Fair exhibitions where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demonstrations generated 87 qualified leads.</w:t>
      </w:r>
    </w:p>
    <w:bookmarkEnd w:id="22"/>
    <w:bookmarkStart w:id="23" w:name="tehran-specific-market-insights"/>
    <w:p>
      <w:pPr>
        <w:pStyle w:val="Heading2"/>
      </w:pPr>
      <w:r>
        <w:t xml:space="preserve">Tehran-Specific Market Insights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reveals distinctive Tehran consumption patterns: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Persian Language Optimization:</w:t>
      </w:r>
      <w:r>
        <w:t xml:space="preserve"> </w:t>
      </w:r>
      <w:r>
        <w:t xml:space="preserve">Clients reported a 34% increase in team adoption rates after implementing our Farsi-language interface, directly addressing a critical pain point identified in pre-sales surveys.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Compliance Integration:</w:t>
      </w:r>
      <w:r>
        <w:t xml:space="preserve"> </w:t>
      </w:r>
      <w:r>
        <w:t xml:space="preserve">The inclusion of Iran's mandatory transaction logging features within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reduced onboarding time by 52% compared to competitors requiring custom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Tehran Industry Preferences:</w:t>
      </w:r>
      <w:r>
        <w:t xml:space="preserve"> </w:t>
      </w:r>
      <w:r>
        <w:t xml:space="preserve">68% of new clients were from retail (32%), manufacturing (24%), and healthcare (18%) sectors – all experiencing accelerated digitalization in Tehran post-pandemic.</w:t>
      </w:r>
    </w:p>
    <w:bookmarkEnd w:id="23"/>
    <w:bookmarkStart w:id="24" w:name="overcoming-market-challenges"/>
    <w:p>
      <w:pPr>
        <w:pStyle w:val="Heading2"/>
      </w:pPr>
      <w:r>
        <w:t xml:space="preserve">Overcoming Market Challenges</w:t>
      </w:r>
    </w:p>
    <w:p>
      <w:pPr>
        <w:pStyle w:val="FirstParagraph"/>
      </w:pPr>
      <w:r>
        <w:t xml:space="preserve">Operating in Iran Tehran presented unique hurdles addressed through our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sales strategy: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Limited local payment processing options for SaaS subscriptions</w:t>
      </w:r>
    </w:p>
    <w:p>
      <w:pPr>
        <w:pStyle w:val="BodyText"/>
      </w:pPr>
      <w:r>
        <w:rPr>
          <w:bCs/>
          <w:b/>
        </w:rPr>
        <w:t xml:space="preserve">Solution:</w:t>
      </w:r>
      <w:r>
        <w:t xml:space="preserve"> </w:t>
      </w:r>
      <w:r>
        <w:t xml:space="preserve">Partnered with Tehran-based fintech firm "PayMelli" to integrate localized billing, increasing contract conversion by 37%.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Cultural preference for face-to-face business negotiations</w:t>
      </w:r>
    </w:p>
    <w:p>
      <w:pPr>
        <w:pStyle w:val="BodyText"/>
      </w:pPr>
      <w:r>
        <w:rPr>
          <w:bCs/>
          <w:b/>
        </w:rPr>
        <w:t xml:space="preserve">Solution:</w:t>
      </w:r>
      <w:r>
        <w:t xml:space="preserve"> </w:t>
      </w:r>
      <w:r>
        <w:t xml:space="preserve">Deployed Tehran-based sales team with in-depth cultural training; implemented "FaceTime Strategy" with 92% of clients preferring initial meetings in person.</w:t>
      </w:r>
    </w:p>
    <w:bookmarkEnd w:id="24"/>
    <w:bookmarkStart w:id="25" w:name="future-outlook-strategic-recommendations"/>
    <w:p>
      <w:pPr>
        <w:pStyle w:val="Heading2"/>
      </w:pPr>
      <w:r>
        <w:t xml:space="preserve">Future Outlook &amp; Strategic Recommendations</w:t>
      </w:r>
    </w:p>
    <w:p>
      <w:pPr>
        <w:pStyle w:val="FirstParagraph"/>
      </w:pPr>
      <w:r>
        <w:t xml:space="preserve">Based on the successful Tehran performance documented in this Sales Report, we recommend: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Expand Tehran Innovation Hub:</w:t>
      </w:r>
      <w:r>
        <w:t xml:space="preserve"> </w:t>
      </w:r>
      <w:r>
        <w:t xml:space="preserve">Establish a dedicated R&amp;D office in Tehran to co-develop new features with local clients (e.g., integration with Iran's national e-commerce platforms).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Scale Enterprise Focus:</w:t>
      </w:r>
      <w:r>
        <w:t xml:space="preserve"> </w:t>
      </w:r>
      <w:r>
        <w:t xml:space="preserve">Prioritize 50+ high-value retail manufacturers in Tehran for 2024 based on Q3 success metrics.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Leverage Local Partnerships:</w:t>
      </w:r>
      <w:r>
        <w:t xml:space="preserve"> </w:t>
      </w:r>
      <w:r>
        <w:t xml:space="preserve">Deepen relationships with Tehran Chamber of Commerce for co-hosted workshops on digital transformation.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concludes that Tehran represents not just a high-performing market, but a strategic model for our entire Middle East operations. The city's unique blend of commercial vibrancy, tech-savvy enterprises, and regulatory landscape has proven that our localized approach to the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product delivers superior results compared to generic global solutions. We project Tehran will account for 75% of all Iran revenue by Q1 2024.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comprehensive Sales Report confirms that the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platform has achieved exceptional market alignment in Iran Tehran. By prioritizing local adaptation – from Farsi language support to Iran-specific compliance requirements – we've transformed a promising product into an indispensable business tool for Tehran's commercial ecosystem. The 142% YoY growth in sales is not merely a numerical achievement; it represents successful localization of our core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technology within Iran's unique economic context. As the Tehran market continues to demonstrate its capacity for digital transformation, we position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as the leading customer engagement solution for Iranian enterprises seeking sustainable growth. The data in this Sales Report leaves no doubt: Iran Tehran is not just a market to serve, but a model to replicate.</w:t>
      </w:r>
    </w:p>
    <w:p>
      <w:pPr>
        <w:pStyle w:val="BodyText"/>
      </w:pPr>
      <w:r>
        <w:rPr>
          <w:iCs/>
          <w:i/>
        </w:rPr>
        <w:t xml:space="preserve">Actor Sales Performance Report - Tehran, Iran | Confidential &amp; Proprietary</w:t>
      </w:r>
    </w:p>
    <w:p>
      <w:pPr>
        <w:pStyle w:val="BodyText"/>
      </w:pPr>
      <w:r>
        <w:t xml:space="preserve">This document constitutes the official sales performance documentation for the Actor product solution in Iran's Tehran market as of Q3 2023.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Sales Performance Report: Iran Tehran Market</dc:title>
  <dc:creator/>
  <dc:language>en</dc:language>
  <cp:keywords/>
  <dcterms:created xsi:type="dcterms:W3CDTF">2026-07-15T07:15:40Z</dcterms:created>
  <dcterms:modified xsi:type="dcterms:W3CDTF">2026-07-15T07:15:40Z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