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r>
        <w:t xml:space="preserve"> </w:t>
      </w:r>
      <w:r>
        <w:t xml:space="preserve">Market</w:t>
      </w:r>
    </w:p>
    <w:bookmarkStart w:id="28" w:name="X013a0e074b22901a640f0028147501e1bb96148"/>
    <w:p>
      <w:pPr>
        <w:pStyle w:val="Heading1"/>
      </w:pPr>
      <w:r>
        <w:t xml:space="preserve">Sales Report for ACTOR Product Line in Kuwait City</w:t>
      </w:r>
    </w:p>
    <w:p>
      <w:pPr>
        <w:pStyle w:val="FirstParagraph"/>
      </w:pPr>
      <w:r>
        <w:t xml:space="preserve">Prepared for Kuwait City Market Operations | Q3 2023</w:t>
      </w:r>
    </w:p>
    <w:bookmarkStart w:id="20" w:name="executive-summary"/>
    <w:p>
      <w:pPr>
        <w:pStyle w:val="Heading2"/>
      </w:pPr>
      <w:r>
        <w:t xml:space="preserve">Executive Summary</w:t>
      </w:r>
    </w:p>
    <w:p>
      <w:pPr>
        <w:pStyle w:val="FirstParagraph"/>
      </w:pPr>
      <w:r>
        <w:t xml:space="preserve">This comprehensive Sales Report details the performance of the ACTOR product line across Kuwait City, Kuwait. Following a strategic market entry in Q1 2023, ACTOR—a cutting-edge digital communication platform designed specifically for enterprise teams—has demonstrated exceptional growth potential within the dynamic business ecosystem of Kuwait City. This report analyzes sales metrics, market reception, and future opportunities for the ACTOR solution in our key Gulf market.</w:t>
      </w:r>
    </w:p>
    <w:bookmarkEnd w:id="20"/>
    <w:bookmarkStart w:id="21" w:name="Xac1584ae6e9d92921f795df771a14b318bf9f00"/>
    <w:p>
      <w:pPr>
        <w:pStyle w:val="Heading2"/>
      </w:pPr>
      <w:r>
        <w:t xml:space="preserve">Market Context: Kuwait City as a Strategic Hub</w:t>
      </w:r>
    </w:p>
    <w:p>
      <w:pPr>
        <w:pStyle w:val="FirstParagraph"/>
      </w:pPr>
      <w:r>
        <w:t xml:space="preserve">Kuwait City represents one of the most promising markets for digital transformation initiatives in the GCC region. With its status as the economic and financial capital of Kuwait, this city hosts over 45% of all corporate headquarters in the country, including major banks, energy conglomerates, and government entities. The market's rapid digital adoption rate—driven by Vision 2035 initiatives—creates an ideal environment for innovative solutions like ACTOR. Our entry strategy specifically targeted Kuwait City due to its concentration of high-value enterprise clients seeking communication tools that integrate seamlessly with local business practices.</w:t>
      </w:r>
    </w:p>
    <w:bookmarkEnd w:id="21"/>
    <w:bookmarkStart w:id="22" w:name="product-overview-the-actor-solution"/>
    <w:p>
      <w:pPr>
        <w:pStyle w:val="Heading2"/>
      </w:pPr>
      <w:r>
        <w:t xml:space="preserve">Product Overview: The ACTOR Solution</w:t>
      </w:r>
    </w:p>
    <w:p>
      <w:pPr>
        <w:pStyle w:val="FirstParagraph"/>
      </w:pPr>
      <w:r>
        <w:t xml:space="preserve">ACTOR is not a conventional communication tool—it's an AI-powered collaboration platform engineered for Middle Eastern business environments. Unlike generic global solutions, ACTOR features:</w:t>
      </w:r>
    </w:p>
    <w:p>
      <w:pPr>
        <w:numPr>
          <w:ilvl w:val="0"/>
          <w:numId w:val="1001"/>
        </w:numPr>
        <w:pStyle w:val="Compact"/>
      </w:pPr>
      <w:r>
        <w:t xml:space="preserve">Arabic-English bilingual interface with culturally appropriate workflow templates</w:t>
      </w:r>
    </w:p>
    <w:p>
      <w:pPr>
        <w:numPr>
          <w:ilvl w:val="0"/>
          <w:numId w:val="1001"/>
        </w:numPr>
        <w:pStyle w:val="Compact"/>
      </w:pPr>
      <w:r>
        <w:t xml:space="preserve">Compliance with Kuwaiti data sovereignty regulations (Kuwait Data Protection Law)</w:t>
      </w:r>
    </w:p>
    <w:p>
      <w:pPr>
        <w:numPr>
          <w:ilvl w:val="0"/>
          <w:numId w:val="1001"/>
        </w:numPr>
        <w:pStyle w:val="Compact"/>
      </w:pPr>
      <w:r>
        <w:t xml:space="preserve">Integration capabilities with local systems like KSA's NAP and Kuwait's government portals</w:t>
      </w:r>
    </w:p>
    <w:p>
      <w:pPr>
        <w:numPr>
          <w:ilvl w:val="0"/>
          <w:numId w:val="1001"/>
        </w:numPr>
        <w:pStyle w:val="Compact"/>
      </w:pPr>
      <w:r>
        <w:t xml:space="preserve">Predictive analytics for team productivity, tailored to regional work patterns</w:t>
      </w:r>
    </w:p>
    <w:p>
      <w:pPr>
        <w:pStyle w:val="FirstParagraph"/>
      </w:pPr>
      <w:r>
        <w:t xml:space="preserve">This localized approach has been critical to ACTOR's positioning in the Kuwait City market where cultural context drives technology adoption.</w:t>
      </w:r>
    </w:p>
    <w:bookmarkEnd w:id="22"/>
    <w:bookmarkStart w:id="23" w:name="Xb48e22295a1334b2ab6553765d6e2975eea294d"/>
    <w:p>
      <w:pPr>
        <w:pStyle w:val="Heading2"/>
      </w:pPr>
      <w:r>
        <w:t xml:space="preserve">Q3 Sales Performance Analysis (Kuwait City)</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Sales Revenue (KWD)</w:t>
      </w:r>
    </w:p>
    <w:p>
      <w:pPr>
        <w:pStyle w:val="BodyText"/>
      </w:pPr>
      <w:r>
        <w:t xml:space="preserve">1,245,000</w:t>
      </w:r>
    </w:p>
    <w:p>
      <w:pPr>
        <w:pStyle w:val="BodyText"/>
      </w:pPr>
      <w:r>
        <w:t xml:space="preserve">897,300</w:t>
      </w:r>
    </w:p>
    <w:p>
      <w:pPr>
        <w:pStyle w:val="BodyText"/>
      </w:pPr>
      <w:r>
        <w:t xml:space="preserve">+38.7%</w:t>
      </w:r>
    </w:p>
    <w:p>
      <w:pPr>
        <w:pStyle w:val="BodyText"/>
      </w:pPr>
      <w:r>
        <w:t xml:space="preserve">New Enterprise Contracts</w:t>
      </w:r>
    </w:p>
    <w:p>
      <w:pPr>
        <w:pStyle w:val="BodyText"/>
      </w:pPr>
      <w:r>
        <w:t xml:space="preserve">42</w:t>
      </w:r>
    </w:p>
    <w:p>
      <w:pPr>
        <w:pStyle w:val="BodyText"/>
      </w:pPr>
      <w:r>
        <w:t xml:space="preserve">28</w:t>
      </w:r>
    </w:p>
    <w:p>
      <w:pPr>
        <w:pStyle w:val="BodyText"/>
      </w:pPr>
      <w:r>
        <w:t xml:space="preserve">+50.0%</w:t>
      </w:r>
    </w:p>
    <w:p>
      <w:pPr>
        <w:pStyle w:val="BodyText"/>
      </w:pPr>
      <w:r>
        <w:t xml:space="preserve">Customer Retention Rate</w:t>
      </w:r>
    </w:p>
    <w:p>
      <w:pPr>
        <w:pStyle w:val="BodyText"/>
      </w:pPr>
      <w:r>
        <w:t xml:space="preserve">93%</w:t>
      </w:r>
    </w:p>
    <w:p>
      <w:pPr>
        <w:pStyle w:val="BodyText"/>
      </w:pPr>
      <w:r>
        <w:t xml:space="preserve">87%</w:t>
      </w:r>
    </w:p>
    <w:p>
      <w:pPr>
        <w:pStyle w:val="BodyText"/>
      </w:pPr>
      <w:r>
        <w:t xml:space="preserve">+6.0% pts</w:t>
      </w:r>
    </w:p>
    <w:p>
      <w:pPr>
        <w:pStyle w:val="BodyText"/>
      </w:pPr>
      <w:r>
        <w:t xml:space="preserve">Market Share (Enterprise Communication)</w:t>
      </w:r>
    </w:p>
    <w:p>
      <w:pPr>
        <w:pStyle w:val="BodyText"/>
      </w:pPr>
      <w:r>
        <w:t xml:space="preserve">18.2%</w:t>
      </w:r>
    </w:p>
    <w:p>
      <w:pPr>
        <w:pStyle w:val="BodyText"/>
      </w:pPr>
      <w:r>
        <w:t xml:space="preserve">12.4%</w:t>
      </w:r>
    </w:p>
    <w:p>
      <w:pPr>
        <w:pStyle w:val="BodyText"/>
      </w:pPr>
      <w:r>
        <w:t xml:space="preserve">+5.8 pp</w:t>
      </w:r>
    </w:p>
    <w:p>
      <w:pPr>
        <w:pStyle w:val="BodyText"/>
      </w:pPr>
      <w:r>
        <w:rPr>
          <w:bCs/>
          <w:b/>
        </w:rPr>
        <w:t xml:space="preserve">Key Growth Drivers:</w:t>
      </w:r>
    </w:p>
    <w:p>
      <w:pPr>
        <w:numPr>
          <w:ilvl w:val="0"/>
          <w:numId w:val="1002"/>
        </w:numPr>
        <w:pStyle w:val="Compact"/>
      </w:pPr>
      <w:r>
        <w:rPr>
          <w:bCs/>
          <w:b/>
        </w:rPr>
        <w:t xml:space="preserve">Cultural Integration:</w:t>
      </w:r>
      <w:r>
        <w:t xml:space="preserve"> </w:t>
      </w:r>
      <w:r>
        <w:t xml:space="preserve">ACTOR's Ramadan communication templates and Eid greeting features significantly improved user engagement during Q3</w:t>
      </w:r>
    </w:p>
    <w:p>
      <w:pPr>
        <w:numPr>
          <w:ilvl w:val="0"/>
          <w:numId w:val="1002"/>
        </w:numPr>
        <w:pStyle w:val="Compact"/>
      </w:pPr>
      <w:r>
        <w:rPr>
          <w:bCs/>
          <w:b/>
        </w:rPr>
        <w:t xml:space="preserve">Strategic Partnerships:</w:t>
      </w:r>
      <w:r>
        <w:t xml:space="preserve"> </w:t>
      </w:r>
      <w:r>
        <w:t xml:space="preserve">Collaboration with Kuwaiti telecom provider Zain for bundled enterprise solutions drove 32% of new sales</w:t>
      </w:r>
    </w:p>
    <w:p>
      <w:pPr>
        <w:numPr>
          <w:ilvl w:val="0"/>
          <w:numId w:val="1002"/>
        </w:numPr>
        <w:pStyle w:val="Compact"/>
      </w:pPr>
      <w:r>
        <w:rPr>
          <w:bCs/>
          <w:b/>
        </w:rPr>
        <w:t xml:space="preserve">Sales Team Expansion:</w:t>
      </w:r>
      <w:r>
        <w:t xml:space="preserve"> </w:t>
      </w:r>
      <w:r>
        <w:t xml:space="preserve">Hiring of 5 local Kuwaiti account managers specifically focused on Kuwait City's corporate sector</w:t>
      </w:r>
    </w:p>
    <w:bookmarkEnd w:id="23"/>
    <w:bookmarkStart w:id="24" w:name="customer-success-stories-in-kuwait-city"/>
    <w:p>
      <w:pPr>
        <w:pStyle w:val="Heading2"/>
      </w:pPr>
      <w:r>
        <w:t xml:space="preserve">Customer Success Stories in Kuwait City</w:t>
      </w:r>
    </w:p>
    <w:p>
      <w:pPr>
        <w:pStyle w:val="FirstParagraph"/>
      </w:pPr>
      <w:r>
        <w:t xml:space="preserve">ACTOR's implementation has delivered measurable value across key sectors in Kuwait City:</w:t>
      </w:r>
    </w:p>
    <w:p>
      <w:pPr>
        <w:pStyle w:val="BodyText"/>
      </w:pPr>
      <w:r>
        <w:rPr>
          <w:bCs/>
          <w:b/>
        </w:rPr>
        <w:t xml:space="preserve">Al-Arabiya Bank (Kuwait City Headquarters):</w:t>
      </w:r>
      <w:r>
        <w:t xml:space="preserve"> </w:t>
      </w:r>
      <w:r>
        <w:t xml:space="preserve">Reduced cross-departmental communication delays by 67% after implementing ACTOR. The bank's Chief Operations Officer noted, "Actor's compliance with Kuwaiti data laws was the decisive factor in our purchase—this isn't just another app, it's designed for us."</w:t>
      </w:r>
    </w:p>
    <w:p>
      <w:pPr>
        <w:pStyle w:val="BodyText"/>
      </w:pPr>
      <w:r>
        <w:rPr>
          <w:bCs/>
          <w:b/>
        </w:rPr>
        <w:t xml:space="preserve">Kuwait Petroleum Corporation (KPC):</w:t>
      </w:r>
      <w:r>
        <w:t xml:space="preserve"> </w:t>
      </w:r>
      <w:r>
        <w:t xml:space="preserve">Deployed ACTOR across all field operations in Kuwait City, cutting report submission time by 72% and enabling real-time coordination during critical infrastructure projects.</w:t>
      </w:r>
    </w:p>
    <w:bookmarkEnd w:id="24"/>
    <w:bookmarkStart w:id="25" w:name="challenges-in-the-kuwait-city-market"/>
    <w:p>
      <w:pPr>
        <w:pStyle w:val="Heading2"/>
      </w:pPr>
      <w:r>
        <w:t xml:space="preserve">Challenges in the Kuwait City Market</w:t>
      </w:r>
    </w:p>
    <w:p>
      <w:pPr>
        <w:pStyle w:val="FirstParagraph"/>
      </w:pPr>
      <w:r>
        <w:t xml:space="preserve">Despite strong momentum, we encountered localized challenges requiring strategic adaptation:</w:t>
      </w:r>
    </w:p>
    <w:p>
      <w:pPr>
        <w:numPr>
          <w:ilvl w:val="0"/>
          <w:numId w:val="1003"/>
        </w:numPr>
        <w:pStyle w:val="Compact"/>
      </w:pPr>
      <w:r>
        <w:rPr>
          <w:iCs/>
          <w:i/>
        </w:rPr>
        <w:t xml:space="preserve">Regulatory Nuances:</w:t>
      </w:r>
      <w:r>
        <w:t xml:space="preserve"> </w:t>
      </w:r>
      <w:r>
        <w:t xml:space="preserve">Initial implementation faced delays due to specific data localization requirements from Kuwait's Ministry of Commerce—resolved through dedicated legal partnerships in Kuwait City</w:t>
      </w:r>
    </w:p>
    <w:p>
      <w:pPr>
        <w:numPr>
          <w:ilvl w:val="0"/>
          <w:numId w:val="1003"/>
        </w:numPr>
        <w:pStyle w:val="Compact"/>
      </w:pPr>
      <w:r>
        <w:rPr>
          <w:iCs/>
          <w:i/>
        </w:rPr>
        <w:t xml:space="preserve">Cultural Preferences:</w:t>
      </w:r>
      <w:r>
        <w:t xml:space="preserve"> </w:t>
      </w:r>
      <w:r>
        <w:t xml:space="preserve">Some clients initially preferred traditional meeting formats; overcome by training programs emphasizing ACTOR's time-saving benefits during high-traffic business hours</w:t>
      </w:r>
    </w:p>
    <w:p>
      <w:pPr>
        <w:numPr>
          <w:ilvl w:val="0"/>
          <w:numId w:val="1003"/>
        </w:numPr>
        <w:pStyle w:val="Compact"/>
      </w:pPr>
      <w:r>
        <w:rPr>
          <w:iCs/>
          <w:i/>
        </w:rPr>
        <w:t xml:space="preserve">Competitor Response:</w:t>
      </w:r>
      <w:r>
        <w:t xml:space="preserve"> </w:t>
      </w:r>
      <w:r>
        <w:t xml:space="preserve">Local rivals attempted to undercut pricing—addressed through value-based sales positioning highlighting Kuwait City-specific compliance features</w:t>
      </w:r>
    </w:p>
    <w:bookmarkEnd w:id="25"/>
    <w:bookmarkStart w:id="26" w:name="X0a666dda2f9c30acf0e9d0648084ed6e725655e"/>
    <w:p>
      <w:pPr>
        <w:pStyle w:val="Heading2"/>
      </w:pPr>
      <w:r>
        <w:t xml:space="preserve">Strategic Recommendations for Kuwait City</w:t>
      </w:r>
    </w:p>
    <w:p>
      <w:pPr>
        <w:pStyle w:val="FirstParagraph"/>
      </w:pPr>
      <w:r>
        <w:t xml:space="preserve">Based on Q3 performance, we recommend the following for the ACTOR product line in Kuwait City:</w:t>
      </w:r>
    </w:p>
    <w:p>
      <w:pPr>
        <w:numPr>
          <w:ilvl w:val="0"/>
          <w:numId w:val="1004"/>
        </w:numPr>
        <w:pStyle w:val="Compact"/>
      </w:pPr>
      <w:r>
        <w:rPr>
          <w:bCs/>
          <w:b/>
        </w:rPr>
        <w:t xml:space="preserve">Expand Government Contracts:</w:t>
      </w:r>
      <w:r>
        <w:t xml:space="preserve"> </w:t>
      </w:r>
      <w:r>
        <w:t xml:space="preserve">Target Ministry of Finance and Public Authority projects through established Kuwait City government relations channels</w:t>
      </w:r>
    </w:p>
    <w:p>
      <w:pPr>
        <w:numPr>
          <w:ilvl w:val="0"/>
          <w:numId w:val="1004"/>
        </w:numPr>
        <w:pStyle w:val="Compact"/>
      </w:pPr>
      <w:r>
        <w:rPr>
          <w:bCs/>
          <w:b/>
        </w:rPr>
        <w:t xml:space="preserve">Leverage Local Partnerships:</w:t>
      </w:r>
      <w:r>
        <w:t xml:space="preserve"> </w:t>
      </w:r>
      <w:r>
        <w:t xml:space="preserve">Deepen collaboration with Kuwaiti tech incubators like Wafaa to co-develop industry-specific ACTOR modules</w:t>
      </w:r>
    </w:p>
    <w:p>
      <w:pPr>
        <w:numPr>
          <w:ilvl w:val="0"/>
          <w:numId w:val="1004"/>
        </w:numPr>
        <w:pStyle w:val="Compact"/>
      </w:pPr>
      <w:r>
        <w:rPr>
          <w:bCs/>
          <w:b/>
        </w:rPr>
        <w:t xml:space="preserve">Seasonal Marketing Campaigns:</w:t>
      </w:r>
      <w:r>
        <w:t xml:space="preserve"> </w:t>
      </w:r>
      <w:r>
        <w:t xml:space="preserve">Align marketing with Kuwait City business cycles—focusing on post-Ramadan Q4 implementation drives</w:t>
      </w:r>
    </w:p>
    <w:p>
      <w:pPr>
        <w:numPr>
          <w:ilvl w:val="0"/>
          <w:numId w:val="1004"/>
        </w:numPr>
        <w:pStyle w:val="Compact"/>
      </w:pPr>
      <w:r>
        <w:rPr>
          <w:bCs/>
          <w:b/>
        </w:rPr>
        <w:t xml:space="preserve">Talent Development:</w:t>
      </w:r>
      <w:r>
        <w:t xml:space="preserve"> </w:t>
      </w:r>
      <w:r>
        <w:t xml:space="preserve">Establish ACTOR's first Middle East regional training center in Kuwait City to build local expertise</w:t>
      </w:r>
    </w:p>
    <w:bookmarkEnd w:id="26"/>
    <w:bookmarkStart w:id="27" w:name="conclusion-actors-future-in-kuwait-city"/>
    <w:p>
      <w:pPr>
        <w:pStyle w:val="Heading2"/>
      </w:pPr>
      <w:r>
        <w:t xml:space="preserve">Conclusion: ACTOR's Future in Kuwait City</w:t>
      </w:r>
    </w:p>
    <w:p>
      <w:pPr>
        <w:pStyle w:val="FirstParagraph"/>
      </w:pPr>
      <w:r>
        <w:t xml:space="preserve">The Q3 Sales Report for ACTOR confirms our strategic positioning in Kuwait City as a market leader in enterprise communication solutions. With revenue growth outpacing regional averages by 27% and deepening cultural integration, ACTOR has transformed from a promising product to an essential business tool for Kuwait City's corporate landscape. As we move into Q4, the focus remains on leveraging our local expertise to make ACTOR the de facto standard communication platform across all major enterprises in Kuwait City.</w:t>
      </w:r>
    </w:p>
    <w:p>
      <w:pPr>
        <w:pStyle w:val="BodyText"/>
      </w:pPr>
      <w:r>
        <w:t xml:space="preserve">Our commitment to understanding Kuwait's unique business environment has positioned ACTOR not just as a sales success, but as a strategic partner in Kuwait City's digital transformation journey. The data is clear: When technology respects cultural context and regulatory frameworks, it doesn't just sell—it transforms markets.</w:t>
      </w:r>
    </w:p>
    <w:p>
      <w:pPr>
        <w:pStyle w:val="BodyText"/>
      </w:pPr>
      <w:r>
        <w:rPr>
          <w:bCs/>
          <w:b/>
        </w:rPr>
        <w:t xml:space="preserve">Prepared by:</w:t>
      </w:r>
      <w:r>
        <w:t xml:space="preserve"> </w:t>
      </w:r>
      <w:r>
        <w:t xml:space="preserve">Global Sales Strategy Team |</w:t>
      </w:r>
      <w:r>
        <w:t xml:space="preserve"> </w:t>
      </w:r>
      <w:r>
        <w:rPr>
          <w:bCs/>
          <w:b/>
        </w:rPr>
        <w:t xml:space="preserve">Date:</w:t>
      </w:r>
      <w:r>
        <w:t xml:space="preserve"> </w:t>
      </w:r>
      <w:r>
        <w:t xml:space="preserve">October 26, 2023 |</w:t>
      </w:r>
      <w:r>
        <w:t xml:space="preserve"> </w:t>
      </w:r>
      <w:r>
        <w:rPr>
          <w:bCs/>
          <w:b/>
        </w:rPr>
        <w:t xml:space="preserve">Confidential - ACTOR Product Line</w:t>
      </w:r>
    </w:p>
    <w:p>
      <w:pPr>
        <w:pStyle w:val="BodyText"/>
      </w:pPr>
      <w:r>
        <w:t xml:space="preserve">"Actor isn't just a product—it's the cultural bridge for digital transformation in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 Kuwait City Market</dc:title>
  <dc:creator/>
  <dc:language>en</dc:language>
  <cp:keywords/>
  <dcterms:created xsi:type="dcterms:W3CDTF">2026-07-23T04:51:02Z</dcterms:created>
  <dcterms:modified xsi:type="dcterms:W3CDTF">2026-07-23T04:51:02Z</dcterms:modified>
</cp:coreProperties>
</file>

<file path=docProps/custom.xml><?xml version="1.0" encoding="utf-8"?>
<Properties xmlns="http://schemas.openxmlformats.org/officeDocument/2006/custom-properties" xmlns:vt="http://schemas.openxmlformats.org/officeDocument/2006/docPropsVTypes"/>
</file>