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Qatar</w:t>
      </w:r>
      <w:r>
        <w:t xml:space="preserve"> </w:t>
      </w:r>
      <w:r>
        <w:t xml:space="preserve">Doha</w:t>
      </w:r>
      <w:r>
        <w:t xml:space="preserve"> </w:t>
      </w:r>
      <w:r>
        <w:t xml:space="preserve">Market</w:t>
      </w:r>
    </w:p>
    <w:bookmarkStart w:id="35" w:name="X5fa23b01d1f2a7ec1efdfb459448bb7d597e11e"/>
    <w:p>
      <w:pPr>
        <w:pStyle w:val="Heading1"/>
      </w:pPr>
      <w:r>
        <w:t xml:space="preserve">Comprehensive Sales Report: International Actor Performance Analysis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Entertainment Ventures Management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internationally acclaimed actor,</w:t>
      </w:r>
      <w:r>
        <w:t xml:space="preserve"> </w:t>
      </w:r>
      <w:r>
        <w:rPr>
          <w:iCs/>
          <w:i/>
        </w:rPr>
        <w:t xml:space="preserve">Alexei Petrov</w:t>
      </w:r>
      <w:r>
        <w:t xml:space="preserve">, across Qatar Doha's premium entertainment ecosystem during Q3 2023. The report demonstrates how strategic engagement with Qatar Doha's luxury hospitality and cultural sectors has generated unprecedented revenue streams for our agency. Petrov achieved a remarkable 147% year-over-year growth in sales volume, securing $2.8 million in verified transactions through exclusive appearances at high-value venues across Doha. This performance establishes the actor as a premier draw for Qatar's elite market, positioning him as a benchmark for future international talent acquisition in the Gulf region.</w:t>
      </w:r>
    </w:p>
    <w:bookmarkEnd w:id="20"/>
    <w:bookmarkStart w:id="21" w:name="X606a61a6c657d7ca329b43463454dcb1db62538"/>
    <w:p>
      <w:pPr>
        <w:pStyle w:val="Heading2"/>
      </w:pPr>
      <w:r>
        <w:t xml:space="preserve">II. Market Context: Qatar Doha's Entertainment Landscape</w:t>
      </w:r>
    </w:p>
    <w:p>
      <w:pPr>
        <w:pStyle w:val="FirstParagraph"/>
      </w:pPr>
      <w:r>
        <w:t xml:space="preserve">Qatar Doha has emerged as one of the most dynamic entertainment markets in the Middle East, driven by massive investments in cultural infrastructure like Lusail Stadium, Museum of Islamic Art, and luxury hotel complexes including The Ritz-Carlton and Four Seasons. With Qatar's Vision 2030 emphasizing cultural tourism alongside economic diversification, demand for premium international entertainment has surged by 68% since 2021. This Sales Report specifically tracks how the</w:t>
      </w:r>
      <w:r>
        <w:t xml:space="preserve"> </w:t>
      </w:r>
      <w:r>
        <w:rPr>
          <w:bCs/>
          <w:b/>
        </w:rPr>
        <w:t xml:space="preserve">Actor</w:t>
      </w:r>
      <w:r>
        <w:t xml:space="preserve"> </w:t>
      </w:r>
      <w:r>
        <w:t xml:space="preserve">successfully navigated this sophisticated market, converting cultural significance into tangible revenue.</w:t>
      </w:r>
    </w:p>
    <w:bookmarkEnd w:id="21"/>
    <w:bookmarkStart w:id="24" w:name="X9bade2f6c75b4e9b73e0f260c9b26e44e6228cb"/>
    <w:p>
      <w:pPr>
        <w:pStyle w:val="Heading2"/>
      </w:pPr>
      <w:r>
        <w:t xml:space="preserve">III. Sales Performance Breakdown: Actor's Doha Campaign</w:t>
      </w:r>
    </w:p>
    <w:bookmarkStart w:id="22" w:name="a.-revenue-streams-q3-2023"/>
    <w:p>
      <w:pPr>
        <w:pStyle w:val="Heading3"/>
      </w:pPr>
      <w:r>
        <w:t xml:space="preserve">A. Revenue Streams (Q3 2023)</w:t>
      </w:r>
    </w:p>
    <w:p>
      <w:pPr>
        <w:pStyle w:val="FirstParagraph"/>
      </w:pPr>
      <w:r>
        <w:t xml:space="preserve">Event Type</w:t>
      </w:r>
    </w:p>
    <w:p>
      <w:pPr>
        <w:pStyle w:val="BodyText"/>
      </w:pPr>
      <w:r>
        <w:t xml:space="preserve">Revenue Generated</w:t>
      </w:r>
    </w:p>
    <w:p>
      <w:pPr>
        <w:pStyle w:val="BodyText"/>
      </w:pPr>
      <w:r>
        <w:t xml:space="preserve">% of Total Sales</w:t>
      </w:r>
    </w:p>
    <w:p>
      <w:pPr>
        <w:pStyle w:val="BodyText"/>
      </w:pPr>
      <w:r>
        <w:t xml:space="preserve">Key Clients (Qatar Doha)</w:t>
      </w:r>
    </w:p>
    <w:p>
      <w:pPr>
        <w:pStyle w:val="BodyText"/>
      </w:pPr>
      <w:r>
        <w:t xml:space="preserve">Luxury Hotel Guest Appearances</w:t>
      </w:r>
    </w:p>
    <w:p>
      <w:pPr>
        <w:pStyle w:val="BodyText"/>
      </w:pPr>
      <w:r>
        <w:t xml:space="preserve">$950,000</w:t>
      </w:r>
    </w:p>
    <w:p>
      <w:pPr>
        <w:pStyle w:val="BodyText"/>
      </w:pPr>
      <w:r>
        <w:t xml:space="preserve">34%</w:t>
      </w:r>
    </w:p>
    <w:p>
      <w:pPr>
        <w:pStyle w:val="BodyText"/>
      </w:pPr>
      <w:r>
        <w:t xml:space="preserve">Ritz-Carlton Doha, Four Seasons Doha</w:t>
      </w:r>
    </w:p>
    <w:p>
      <w:pPr>
        <w:pStyle w:val="BodyText"/>
      </w:pPr>
      <w:r>
        <w:t xml:space="preserve">Cultural Festival Headliners</w:t>
      </w:r>
    </w:p>
    <w:p>
      <w:pPr>
        <w:pStyle w:val="BodyText"/>
      </w:pPr>
      <w:r>
        <w:t xml:space="preserve">$1,275,000</w:t>
      </w:r>
    </w:p>
    <w:p>
      <w:pPr>
        <w:pStyle w:val="BodyText"/>
      </w:pPr>
      <w:r>
        <w:t xml:space="preserve">45.5%</w:t>
      </w:r>
    </w:p>
    <w:p>
      <w:pPr>
        <w:pStyle w:val="BodyText"/>
      </w:pPr>
      <w:r>
        <w:t xml:space="preserve">Qatar National Day Committee, Al Thakira Arts Festival</w:t>
      </w:r>
    </w:p>
    <w:p>
      <w:pPr>
        <w:pStyle w:val="BodyText"/>
      </w:pPr>
      <w:r>
        <w:t xml:space="preserve">Premium Corporate Events</w:t>
      </w:r>
    </w:p>
    <w:p>
      <w:pPr>
        <w:pStyle w:val="BodyText"/>
      </w:pPr>
      <w:r>
        <w:t xml:space="preserve">$485,000</w:t>
      </w:r>
    </w:p>
    <w:p>
      <w:pPr>
        <w:pStyle w:val="BodyText"/>
      </w:pPr>
      <w:r>
        <w:t xml:space="preserve">17.3%</w:t>
      </w:r>
    </w:p>
    <w:p>
      <w:pPr>
        <w:pStyle w:val="BodyText"/>
      </w:pPr>
      <w:r>
        <w:t xml:space="preserve">&lt;</w:t>
      </w:r>
    </w:p>
    <w:p>
      <w:pPr>
        <w:pStyle w:val="BodyText"/>
      </w:pPr>
      <w:r>
        <w:t xml:space="preserve">SASCO, Qatar Petroleum VIP Programs</w:t>
      </w:r>
    </w:p>
    <w:p>
      <w:pPr>
        <w:pStyle w:val="BodyText"/>
      </w:pPr>
      <w:r>
        <w:rPr>
          <w:bCs/>
          <w:b/>
        </w:rPr>
        <w:t xml:space="preserve">Total Q3 Sales</w:t>
      </w:r>
    </w:p>
    <w:p>
      <w:pPr>
        <w:pStyle w:val="BodyText"/>
      </w:pPr>
      <w:r>
        <w:rPr>
          <w:bCs/>
          <w:b/>
        </w:rPr>
        <w:t xml:space="preserve">$2,710,000</w:t>
      </w:r>
    </w:p>
    <w:p>
      <w:pPr>
        <w:pStyle w:val="BodyText"/>
      </w:pPr>
      <w:r>
        <w:rPr>
          <w:bCs/>
          <w:b/>
        </w:rPr>
        <w:t xml:space="preserve">100%</w:t>
      </w:r>
    </w:p>
    <w:p>
      <w:pPr>
        <w:pStyle w:val="BodyText"/>
      </w:pPr>
      <w:r>
        <w:t xml:space="preserve">-</w:t>
      </w:r>
    </w:p>
    <w:bookmarkEnd w:id="22"/>
    <w:bookmarkStart w:id="23" w:name="b.-growth-metrics-vs.-previous-periods"/>
    <w:p>
      <w:pPr>
        <w:pStyle w:val="Heading3"/>
      </w:pPr>
      <w:r>
        <w:t xml:space="preserve">B. Growth Metrics vs. Previous Periods</w:t>
      </w:r>
    </w:p>
    <w:p>
      <w:pPr>
        <w:numPr>
          <w:ilvl w:val="0"/>
          <w:numId w:val="1001"/>
        </w:numPr>
        <w:pStyle w:val="Compact"/>
      </w:pPr>
      <w:r>
        <w:rPr>
          <w:bCs/>
          <w:b/>
        </w:rPr>
        <w:t xml:space="preserve">YoY Growth:</w:t>
      </w:r>
      <w:r>
        <w:t xml:space="preserve"> </w:t>
      </w:r>
      <w:r>
        <w:t xml:space="preserve">147% (from $1.12M in Q3 2022)</w:t>
      </w:r>
    </w:p>
    <w:p>
      <w:pPr>
        <w:numPr>
          <w:ilvl w:val="0"/>
          <w:numId w:val="1001"/>
        </w:numPr>
        <w:pStyle w:val="Compact"/>
      </w:pPr>
      <w:r>
        <w:rPr>
          <w:bCs/>
          <w:b/>
        </w:rPr>
        <w:t xml:space="preserve">QoQ Growth:</w:t>
      </w:r>
      <w:r>
        <w:t xml:space="preserve"> </w:t>
      </w:r>
      <w:r>
        <w:t xml:space="preserve">89% (from $1.43M in Q2 2023)</w:t>
      </w:r>
    </w:p>
    <w:p>
      <w:pPr>
        <w:numPr>
          <w:ilvl w:val="0"/>
          <w:numId w:val="1001"/>
        </w:numPr>
        <w:pStyle w:val="Compact"/>
      </w:pPr>
      <w:r>
        <w:rPr>
          <w:bCs/>
          <w:b/>
        </w:rPr>
        <w:t xml:space="preserve">Average Booking Value:</w:t>
      </w:r>
      <w:r>
        <w:t xml:space="preserve"> </w:t>
      </w:r>
      <w:r>
        <w:t xml:space="preserve">$178,500 per engagement (vs. industry avg. $95k)</w:t>
      </w:r>
    </w:p>
    <w:p>
      <w:pPr>
        <w:numPr>
          <w:ilvl w:val="0"/>
          <w:numId w:val="1001"/>
        </w:numPr>
        <w:pStyle w:val="Compact"/>
      </w:pPr>
      <w:r>
        <w:rPr>
          <w:bCs/>
          <w:b/>
        </w:rPr>
        <w:t xml:space="preserve">Client Retention Rate:</w:t>
      </w:r>
      <w:r>
        <w:t xml:space="preserve"> </w:t>
      </w:r>
      <w:r>
        <w:t xml:space="preserve">92% (exceeding regional benchmark of 76%)</w:t>
      </w:r>
    </w:p>
    <w:bookmarkEnd w:id="23"/>
    <w:bookmarkEnd w:id="24"/>
    <w:bookmarkStart w:id="28" w:name="X10a6becad7eb8f697e5fbb2a62b0b6051688668"/>
    <w:p>
      <w:pPr>
        <w:pStyle w:val="Heading2"/>
      </w:pPr>
      <w:r>
        <w:t xml:space="preserve">IV. Strategic Analysis: Why the Actor Succeeded in Qatar Doha</w:t>
      </w:r>
    </w:p>
    <w:bookmarkStart w:id="25" w:name="a.-cultural-alignment-strategy"/>
    <w:p>
      <w:pPr>
        <w:pStyle w:val="Heading3"/>
      </w:pPr>
      <w:r>
        <w:t xml:space="preserve">A. Cultural Alignment Strategy</w:t>
      </w:r>
    </w:p>
    <w:p>
      <w:pPr>
        <w:pStyle w:val="FirstParagraph"/>
      </w:pPr>
      <w:r>
        <w:t xml:space="preserve">The Sales Report identifies cultural intelligence as the cornerstone of this actor's success. Petrov's team conducted 17 pre-booking consultations with Qatari cultural advisors to align his performances with local values. This included:</w:t>
      </w:r>
    </w:p>
    <w:p>
      <w:pPr>
        <w:numPr>
          <w:ilvl w:val="0"/>
          <w:numId w:val="1002"/>
        </w:numPr>
        <w:pStyle w:val="Compact"/>
      </w:pPr>
      <w:r>
        <w:t xml:space="preserve">Replacing Western film references with Middle Eastern storytelling frameworks during speeches</w:t>
      </w:r>
    </w:p>
    <w:p>
      <w:pPr>
        <w:numPr>
          <w:ilvl w:val="0"/>
          <w:numId w:val="1002"/>
        </w:numPr>
        <w:pStyle w:val="Compact"/>
      </w:pPr>
      <w:r>
        <w:t xml:space="preserve">Partnering with Qatar Museums for a curated "Arabian Cinema" segment at the Al Thakira festival</w:t>
      </w:r>
    </w:p>
    <w:p>
      <w:pPr>
        <w:numPr>
          <w:ilvl w:val="0"/>
          <w:numId w:val="1002"/>
        </w:numPr>
        <w:pStyle w:val="Compact"/>
      </w:pPr>
      <w:r>
        <w:t xml:space="preserve">Adopting modest dress codes for all Doha appearances in compliance with local protocols</w:t>
      </w:r>
    </w:p>
    <w:bookmarkEnd w:id="25"/>
    <w:bookmarkStart w:id="26" w:name="b.-premium-hospitality-integration"/>
    <w:p>
      <w:pPr>
        <w:pStyle w:val="Heading3"/>
      </w:pPr>
      <w:r>
        <w:t xml:space="preserve">B. Premium Hospitality Integration</w:t>
      </w:r>
    </w:p>
    <w:p>
      <w:pPr>
        <w:pStyle w:val="FirstParagraph"/>
      </w:pPr>
      <w:r>
        <w:t xml:space="preserve">Critical to the actor's sales momentum was our strategic partnership with Doha's luxury hospitality sector. The Sales Report confirms that 68% of revenue came from hotel collaborations where Petrov:</w:t>
      </w:r>
    </w:p>
    <w:p>
      <w:pPr>
        <w:numPr>
          <w:ilvl w:val="0"/>
          <w:numId w:val="1003"/>
        </w:numPr>
        <w:pStyle w:val="Compact"/>
      </w:pPr>
      <w:r>
        <w:t xml:space="preserve">Headlined exclusive "Celebrity Evening" packages at $4,500 per guest</w:t>
      </w:r>
    </w:p>
    <w:p>
      <w:pPr>
        <w:numPr>
          <w:ilvl w:val="0"/>
          <w:numId w:val="1003"/>
        </w:numPr>
        <w:pStyle w:val="Compact"/>
      </w:pPr>
      <w:r>
        <w:t xml:space="preserve">Created personalized video messages for high-net-worth hotel guests (127 verified sales)</w:t>
      </w:r>
    </w:p>
    <w:p>
      <w:pPr>
        <w:numPr>
          <w:ilvl w:val="0"/>
          <w:numId w:val="1003"/>
        </w:numPr>
        <w:pStyle w:val="Compact"/>
      </w:pPr>
      <w:r>
        <w:t xml:space="preserve">Co-designed limited-edition merchandise with Doha's Al Thakira Gallery</w:t>
      </w:r>
    </w:p>
    <w:bookmarkEnd w:id="26"/>
    <w:bookmarkStart w:id="27" w:name="c.-qatar-specific-marketing-tactics"/>
    <w:p>
      <w:pPr>
        <w:pStyle w:val="Heading3"/>
      </w:pPr>
      <w:r>
        <w:t xml:space="preserve">C. Qatar-Specific Marketing Tactics</w:t>
      </w:r>
    </w:p>
    <w:p>
      <w:pPr>
        <w:pStyle w:val="FirstParagraph"/>
      </w:pPr>
      <w:r>
        <w:t xml:space="preserve">The actor's campaign utilized hyper-localized outreach in Qatar Doha:</w:t>
      </w:r>
    </w:p>
    <w:p>
      <w:pPr>
        <w:numPr>
          <w:ilvl w:val="0"/>
          <w:numId w:val="1004"/>
        </w:numPr>
        <w:pStyle w:val="Compact"/>
      </w:pPr>
      <w:r>
        <w:t xml:space="preserve">Targeted Instagram campaigns using #DohaCelebrity (28M impressions, 14% conversion rate)</w:t>
      </w:r>
    </w:p>
    <w:p>
      <w:pPr>
        <w:numPr>
          <w:ilvl w:val="0"/>
          <w:numId w:val="1004"/>
        </w:numPr>
        <w:pStyle w:val="Compact"/>
      </w:pPr>
      <w:r>
        <w:t xml:space="preserve">Collaborations with Qatari influencers like @DohaLifestyle for authentic audience engagement</w:t>
      </w:r>
    </w:p>
    <w:p>
      <w:pPr>
        <w:numPr>
          <w:ilvl w:val="0"/>
          <w:numId w:val="1004"/>
        </w:numPr>
        <w:pStyle w:val="Compact"/>
      </w:pPr>
      <w:r>
        <w:t xml:space="preserve">Exclusive pre-booking access for Qatar Airways business class members</w:t>
      </w:r>
    </w:p>
    <w:bookmarkEnd w:id="27"/>
    <w:bookmarkEnd w:id="28"/>
    <w:bookmarkStart w:id="31" w:name="X074047a9acc71225cf660cf644cbc7bf907d88a"/>
    <w:p>
      <w:pPr>
        <w:pStyle w:val="Heading2"/>
      </w:pPr>
      <w:r>
        <w:t xml:space="preserve">V. Market Challenges and Solutions (Qatar Doha Specific)</w:t>
      </w:r>
    </w:p>
    <w:bookmarkStart w:id="29" w:name="a.-visa-logistics-challenge"/>
    <w:p>
      <w:pPr>
        <w:pStyle w:val="Heading3"/>
      </w:pPr>
      <w:r>
        <w:t xml:space="preserve">A. Visa Logistics Challenge</w:t>
      </w:r>
    </w:p>
    <w:p>
      <w:pPr>
        <w:pStyle w:val="FirstParagraph"/>
      </w:pPr>
      <w:r>
        <w:rPr>
          <w:iCs/>
          <w:i/>
        </w:rPr>
        <w:t xml:space="preserve">Issue:</w:t>
      </w:r>
      <w:r>
        <w:t xml:space="preserve"> </w:t>
      </w:r>
      <w:r>
        <w:t xml:space="preserve">Initial visa processing delays threatened two major September engagements.</w:t>
      </w:r>
    </w:p>
    <w:p>
      <w:pPr>
        <w:pStyle w:val="BodyText"/>
      </w:pPr>
      <w:r>
        <w:rPr>
          <w:iCs/>
          <w:i/>
        </w:rPr>
        <w:t xml:space="preserve">Solution:</w:t>
      </w:r>
      <w:r>
        <w:t xml:space="preserve"> </w:t>
      </w:r>
      <w:r>
        <w:t xml:space="preserve">Partnered with Qatar's Ministry of Interior for expedited "Cultural Ambassador" visas, reducing processing time by 89%.</w:t>
      </w:r>
    </w:p>
    <w:bookmarkEnd w:id="29"/>
    <w:bookmarkStart w:id="30" w:name="b.-cultural-sensitivity-concerns"/>
    <w:p>
      <w:pPr>
        <w:pStyle w:val="Heading3"/>
      </w:pPr>
      <w:r>
        <w:t xml:space="preserve">B. Cultural Sensitivity Concerns</w:t>
      </w:r>
    </w:p>
    <w:p>
      <w:pPr>
        <w:pStyle w:val="FirstParagraph"/>
      </w:pPr>
      <w:r>
        <w:rPr>
          <w:iCs/>
          <w:i/>
        </w:rPr>
        <w:t xml:space="preserve">Issue:</w:t>
      </w:r>
      <w:r>
        <w:t xml:space="preserve"> </w:t>
      </w:r>
      <w:r>
        <w:t xml:space="preserve">Initial promotional materials were flagged by Qatar National Media Council.</w:t>
      </w:r>
    </w:p>
    <w:p>
      <w:pPr>
        <w:pStyle w:val="BodyText"/>
      </w:pPr>
      <w:r>
        <w:rPr>
          <w:iCs/>
          <w:i/>
        </w:rPr>
        <w:t xml:space="preserve">Solution:</w:t>
      </w:r>
      <w:r>
        <w:t xml:space="preserve"> </w:t>
      </w:r>
      <w:r>
        <w:t xml:space="preserve">Implemented mandatory cultural review protocol for all content (reducing rejections to 0% in Q3).</w:t>
      </w:r>
    </w:p>
    <w:bookmarkEnd w:id="30"/>
    <w:bookmarkEnd w:id="31"/>
    <w:bookmarkStart w:id="32" w:name="X7e59db829f16616fa7eadcf8dee0e52ceeb331d"/>
    <w:p>
      <w:pPr>
        <w:pStyle w:val="Heading2"/>
      </w:pPr>
      <w:r>
        <w:t xml:space="preserve">VI. Future Outlook: Actor's Positioning in Qatar Doha</w:t>
      </w:r>
    </w:p>
    <w:p>
      <w:pPr>
        <w:pStyle w:val="FirstParagraph"/>
      </w:pPr>
      <w:r>
        <w:t xml:space="preserve">This Sales Report projects sustained growth through Qatar's upcoming major events. Petrov has secured commitments for:</w:t>
      </w:r>
    </w:p>
    <w:p>
      <w:pPr>
        <w:numPr>
          <w:ilvl w:val="0"/>
          <w:numId w:val="1005"/>
        </w:numPr>
        <w:pStyle w:val="Compact"/>
      </w:pPr>
      <w:r>
        <w:t xml:space="preserve">Opening night headliner at Lusail Stadium during FIFA World Cup 2023 (pending approval)</w:t>
      </w:r>
    </w:p>
    <w:p>
      <w:pPr>
        <w:numPr>
          <w:ilvl w:val="0"/>
          <w:numId w:val="1005"/>
        </w:numPr>
        <w:pStyle w:val="Compact"/>
      </w:pPr>
      <w:r>
        <w:t xml:space="preserve">Exclusive "Qatar Heritage Month" series with Museum of Islamic Art (estimated $1.5M revenue)</w:t>
      </w:r>
    </w:p>
    <w:p>
      <w:pPr>
        <w:numPr>
          <w:ilvl w:val="0"/>
          <w:numId w:val="1005"/>
        </w:numPr>
        <w:pStyle w:val="Compact"/>
      </w:pPr>
      <w:r>
        <w:t xml:space="preserve">Premium guest role in Qatar's new $700M film production hub at Al Thakira</w:t>
      </w:r>
    </w:p>
    <w:p>
      <w:pPr>
        <w:pStyle w:val="FirstParagraph"/>
      </w:pPr>
      <w:r>
        <w:t xml:space="preserve">The Sales Report concludes that the actor's success in Qatar Doha has established a replicable model for international talent in Gulf markets. His ability to translate cultural understanding into premium revenue—evidenced by 92% client retention and $178k average booking value—proves that strategic localization, not just star power, drives sales growth in Qatar Doha's sophisticated entertainment economy.</w:t>
      </w:r>
    </w:p>
    <w:bookmarkEnd w:id="32"/>
    <w:bookmarkStart w:id="33" w:name="vii.-strategic-recommendations"/>
    <w:p>
      <w:pPr>
        <w:pStyle w:val="Heading2"/>
      </w:pPr>
      <w:r>
        <w:t xml:space="preserve">VII. Strategic Recommendations</w:t>
      </w:r>
    </w:p>
    <w:p>
      <w:pPr>
        <w:numPr>
          <w:ilvl w:val="0"/>
          <w:numId w:val="1006"/>
        </w:numPr>
        <w:pStyle w:val="Compact"/>
      </w:pPr>
      <w:r>
        <w:rPr>
          <w:bCs/>
          <w:b/>
        </w:rPr>
        <w:t xml:space="preserve">Establish Permanent Doha Liaison:</w:t>
      </w:r>
      <w:r>
        <w:t xml:space="preserve"> </w:t>
      </w:r>
      <w:r>
        <w:t xml:space="preserve">Create dedicated Qatar-based talent manager to handle cultural compliance (projected 35% faster booking cycle)</w:t>
      </w:r>
    </w:p>
    <w:p>
      <w:pPr>
        <w:numPr>
          <w:ilvl w:val="0"/>
          <w:numId w:val="1006"/>
        </w:numPr>
        <w:pStyle w:val="Compact"/>
      </w:pPr>
      <w:r>
        <w:rPr>
          <w:bCs/>
          <w:b/>
        </w:rPr>
        <w:t xml:space="preserve">Develop Qatari Cultural Training Module:</w:t>
      </w:r>
      <w:r>
        <w:t xml:space="preserve"> </w:t>
      </w:r>
      <w:r>
        <w:t xml:space="preserve">Formalize process for all international actors before Qatar engagements (reduce pre-booking delays by 70%)</w:t>
      </w:r>
    </w:p>
    <w:p>
      <w:pPr>
        <w:numPr>
          <w:ilvl w:val="0"/>
          <w:numId w:val="1006"/>
        </w:numPr>
        <w:pStyle w:val="Compact"/>
      </w:pPr>
      <w:r>
        <w:rPr>
          <w:bCs/>
          <w:b/>
        </w:rPr>
        <w:t xml:space="preserve">Prioritize Hotel Partnerships:</w:t>
      </w:r>
      <w:r>
        <w:t xml:space="preserve"> </w:t>
      </w:r>
      <w:r>
        <w:t xml:space="preserve">Target 85% of future bookings through Doha luxury hotels (current baseline: 68%)</w:t>
      </w:r>
    </w:p>
    <w:bookmarkEnd w:id="33"/>
    <w:bookmarkStart w:id="34" w:name="viii.-conclusion"/>
    <w:p>
      <w:pPr>
        <w:pStyle w:val="Heading2"/>
      </w:pPr>
      <w:r>
        <w:t xml:space="preserve">VIII. Conclusion</w:t>
      </w:r>
    </w:p>
    <w:p>
      <w:pPr>
        <w:pStyle w:val="FirstParagraph"/>
      </w:pPr>
      <w:r>
        <w:t xml:space="preserve">This comprehensive Sales Report affirms that in the Qatar Doha market, the right Actor can achieve extraordinary commercial results when cultural intelligence drives sales strategy. The actor's Q3 performance demonstrates that premium entertainment revenue isn't merely about star power—it's about understanding how luxury hospitality, cultural institutions, and corporate clients operate within Qatar Doha's unique ecosystem. With 78% of Doha-based clients requesting repeat engagements for 2024, the actor has positioned himself as an indispensable asset for any agency targeting Qatar's high-value entertainment sector. The data unequivocally shows that strategic adaptation to Qatar Doha's market realities generates superior sales outcomes, making this a blueprint for future international talent deployment across the Gulf region.</w:t>
      </w:r>
    </w:p>
    <w:p>
      <w:pPr>
        <w:pStyle w:val="BodyText"/>
      </w:pPr>
      <w:r>
        <w:rPr>
          <w:bCs/>
          <w:b/>
        </w:rPr>
        <w:t xml:space="preserve">Prepared By:</w:t>
      </w:r>
      <w:r>
        <w:t xml:space="preserve"> </w:t>
      </w:r>
      <w:r>
        <w:t xml:space="preserve">Global Entertainment Analytics Division</w:t>
      </w:r>
      <w:r>
        <w:br/>
      </w:r>
      <w:r>
        <w:rPr>
          <w:bCs/>
          <w:b/>
        </w:rPr>
        <w:t xml:space="preserve">Confidentiality Level:</w:t>
      </w:r>
      <w:r>
        <w:t xml:space="preserve"> </w:t>
      </w:r>
      <w:r>
        <w:t xml:space="preserve">For Internal Use - Qatar Doha Strategic Partners Only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Qatar Doha Market</dc:title>
  <dc:creator/>
  <dc:language>en</dc:language>
  <cp:keywords/>
  <dcterms:created xsi:type="dcterms:W3CDTF">2026-07-15T04:20:44Z</dcterms:created>
  <dcterms:modified xsi:type="dcterms:W3CDTF">2026-07-15T04:20:44Z</dcterms:modified>
</cp:coreProperties>
</file>

<file path=docProps/custom.xml><?xml version="1.0" encoding="utf-8"?>
<Properties xmlns="http://schemas.openxmlformats.org/officeDocument/2006/custom-properties" xmlns:vt="http://schemas.openxmlformats.org/officeDocument/2006/docPropsVTypes"/>
</file>