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Sales</w:t>
      </w:r>
      <w:r>
        <w:t xml:space="preserve"> </w:t>
      </w:r>
      <w:r>
        <w:t xml:space="preserve">Report:</w:t>
      </w:r>
      <w:r>
        <w:t xml:space="preserve"> </w:t>
      </w:r>
      <w:r>
        <w:t xml:space="preserve">Russia</w:t>
      </w:r>
      <w:r>
        <w:t xml:space="preserve"> </w:t>
      </w:r>
      <w:r>
        <w:t xml:space="preserve">Moscow</w:t>
      </w:r>
      <w:r>
        <w:t xml:space="preserve"> </w:t>
      </w:r>
      <w:r>
        <w:t xml:space="preserve">Market</w:t>
      </w:r>
      <w:r>
        <w:t xml:space="preserve"> </w:t>
      </w:r>
      <w:r>
        <w:t xml:space="preserve">Performance</w:t>
      </w:r>
    </w:p>
    <w:bookmarkStart w:id="27" w:name="X8a896074f143fced87d30d959d2be2999683cf3"/>
    <w:p>
      <w:pPr>
        <w:pStyle w:val="Heading1"/>
      </w:pPr>
      <w:r>
        <w:t xml:space="preserve">Sales Report: Actor Product Performance in Russia Moscow Market</w:t>
      </w:r>
    </w:p>
    <w:bookmarkStart w:id="20" w:name="executive-summary"/>
    <w:p>
      <w:pPr>
        <w:pStyle w:val="Heading2"/>
      </w:pPr>
      <w:r>
        <w:t xml:space="preserve">Executive Summary</w:t>
      </w:r>
    </w:p>
    <w:p>
      <w:pPr>
        <w:pStyle w:val="FirstParagraph"/>
      </w:pPr>
      <w:r>
        <w:t xml:space="preserve">This comprehensive Sales Report details the market performance of the "Actor" product line across Russia, with particular emphasis on the Moscow metropolitan region. The Actor platform—a cutting-edge AI-driven customer engagement solution—has achieved unprecedented traction in Moscow's competitive business landscape. As of Q3 2023, Actor has captured 18% market share among enterprise SaaS solutions in Moscow, representing a 217% year-over-year growth trajectory. This report analyzes key drivers behind this success while outlining strategic imperatives for sustained dominance in the Russia Moscow ecosystem.</w:t>
      </w:r>
    </w:p>
    <w:bookmarkEnd w:id="20"/>
    <w:bookmarkStart w:id="21" w:name="X9a8a89735703281b223aba3763177cc7c789d82"/>
    <w:p>
      <w:pPr>
        <w:pStyle w:val="Heading2"/>
      </w:pPr>
      <w:r>
        <w:t xml:space="preserve">Market Context: Actor's Strategic Positioning</w:t>
      </w:r>
    </w:p>
    <w:p>
      <w:pPr>
        <w:pStyle w:val="FirstParagraph"/>
      </w:pPr>
      <w:r>
        <w:t xml:space="preserve">The Actor solution addresses a critical gap in Russia's business technology sector, where 73% of enterprises struggle with legacy customer interaction systems (as per GFK Russia 2023). Moscow, home to 11% of Russia's Fortune 500 companies and the nation's primary innovation hub, became our flagship market for Actor deployment. The platform's unique capability to integrate seamlessly with existing Russian CRMs (including local systems like 1C) while delivering real-time multilingual support (Russian/English) positioned it perfectly for Moscow's cosmopolitan business environment.</w:t>
      </w:r>
    </w:p>
    <w:p>
      <w:pPr>
        <w:pStyle w:val="BodyText"/>
      </w:pPr>
      <w:r>
        <w:t xml:space="preserve">Unlike competitors focusing on generic solutions, our Actor implementation strategy specifically tailored for Moscow's high-volume retail, fintech, and e-commerce sectors—verticals where customer engagement velocity directly impacts revenue. This hyper-localized approach has been instrumental in overcoming initial market skepticism during the pilot phase (Q1 2022).</w:t>
      </w:r>
    </w:p>
    <w:bookmarkEnd w:id="21"/>
    <w:bookmarkStart w:id="22" w:name="quantitative-performance-highlights"/>
    <w:p>
      <w:pPr>
        <w:pStyle w:val="Heading2"/>
      </w:pPr>
      <w:r>
        <w:t xml:space="preserve">Quantitative Performance Highlights</w:t>
      </w:r>
    </w:p>
    <w:p>
      <w:pPr>
        <w:pStyle w:val="FirstParagraph"/>
      </w:pPr>
      <w:r>
        <w:t xml:space="preserve">Quarter</w:t>
      </w:r>
    </w:p>
    <w:bookmarkEnd w:id="22"/>
    <w:p>
      <w:pPr>
        <w:pStyle w:val="BodyText"/>
      </w:pPr>
      <w:r>
        <w:t xml:space="preserve">Sales Volume (Moscow)</w:t>
      </w:r>
    </w:p>
    <w:p>
      <w:pPr>
        <w:pStyle w:val="BodyText"/>
      </w:pPr>
      <w:r>
        <w:t xml:space="preserve">Y/Y Growth</w:t>
      </w:r>
    </w:p>
    <w:p>
      <w:pPr>
        <w:pStyle w:val="BodyText"/>
      </w:pPr>
      <w:r>
        <w:t xml:space="preserve">Key Accounts Acquired</w:t>
      </w:r>
    </w:p>
    <w:p>
      <w:pPr>
        <w:pStyle w:val="BodyText"/>
      </w:pPr>
      <w:r>
        <w:t xml:space="preserve">Q1 2022</w:t>
      </w:r>
    </w:p>
    <w:p>
      <w:pPr>
        <w:pStyle w:val="BodyText"/>
      </w:pPr>
      <w:r>
        <w:t xml:space="preserve">$485K</w:t>
      </w:r>
    </w:p>
    <w:p>
      <w:pPr>
        <w:pStyle w:val="BodyText"/>
      </w:pPr>
      <w:r>
        <w:t xml:space="preserve">- (Pilot Phase)</w:t>
      </w:r>
    </w:p>
    <w:p>
      <w:pPr>
        <w:pStyle w:val="BodyText"/>
      </w:pPr>
      <w:r>
        <w:t xml:space="preserve">3 (Regional Retail)</w:t>
      </w:r>
    </w:p>
    <w:p>
      <w:pPr>
        <w:pStyle w:val="BodyText"/>
      </w:pPr>
      <w:r>
        <w:t xml:space="preserve">Q3 2022</w:t>
      </w:r>
    </w:p>
    <w:p>
      <w:pPr>
        <w:pStyle w:val="BodyText"/>
      </w:pPr>
      <w:r>
        <w:t xml:space="preserve">$1.7M</w:t>
      </w:r>
    </w:p>
    <w:p>
      <w:pPr>
        <w:pStyle w:val="BodyText"/>
      </w:pPr>
      <w:r>
        <w:t xml:space="preserve">&lt;</w:t>
      </w:r>
    </w:p>
    <w:p>
      <w:pPr>
        <w:pStyle w:val="BodyText"/>
      </w:pPr>
      <w:r>
        <w:t xml:space="preserve">198%</w:t>
      </w:r>
    </w:p>
    <w:p>
      <w:pPr>
        <w:pStyle w:val="BodyText"/>
      </w:pPr>
      <w:r>
        <w:t xml:space="preserve">&lt;</w:t>
      </w:r>
    </w:p>
    <w:p>
      <w:pPr>
        <w:pStyle w:val="BodyText"/>
      </w:pPr>
      <w:r>
        <w:t xml:space="preserve">12 (Including 3 Major Banks)</w:t>
      </w:r>
    </w:p>
    <w:p>
      <w:pPr>
        <w:pStyle w:val="BodyText"/>
      </w:pPr>
      <w:r>
        <w:t xml:space="preserve">Q1 2023</w:t>
      </w:r>
    </w:p>
    <w:p>
      <w:pPr>
        <w:pStyle w:val="BodyText"/>
      </w:pPr>
      <w:r>
        <w:t xml:space="preserve">$2.4M</w:t>
      </w:r>
    </w:p>
    <w:p>
      <w:pPr>
        <w:pStyle w:val="BodyText"/>
      </w:pPr>
      <w:r>
        <w:t xml:space="preserve">&lt;</w:t>
      </w:r>
    </w:p>
    <w:p>
      <w:pPr>
        <w:pStyle w:val="BodyText"/>
      </w:pPr>
      <w:r>
        <w:t xml:space="preserve">45%</w:t>
      </w:r>
    </w:p>
    <w:p>
      <w:pPr>
        <w:pStyle w:val="BodyText"/>
      </w:pPr>
      <w:r>
        <w:t xml:space="preserve">8 (Fintech &amp; E-commerce Leaders)</w:t>
      </w:r>
    </w:p>
    <w:p>
      <w:pPr>
        <w:pStyle w:val="BodyText"/>
      </w:pPr>
      <w:r>
        <w:t xml:space="preserve">Q3 2023</w:t>
      </w:r>
    </w:p>
    <w:p>
      <w:pPr>
        <w:pStyle w:val="BodyText"/>
      </w:pPr>
      <w:r>
        <w:t xml:space="preserve">$4.1M</w:t>
      </w:r>
    </w:p>
    <w:p>
      <w:pPr>
        <w:pStyle w:val="BodyText"/>
      </w:pPr>
      <w:r>
        <w:t xml:space="preserve">&lt;</w:t>
      </w:r>
    </w:p>
    <w:p>
      <w:pPr>
        <w:pStyle w:val="BodyText"/>
      </w:pPr>
      <w:r>
        <w:t xml:space="preserve">75%</w:t>
      </w:r>
    </w:p>
    <w:p>
      <w:pPr>
        <w:pStyle w:val="BodyText"/>
      </w:pPr>
      <w:r>
        <w:t xml:space="preserve">19 (Including 2 of Russia's Top 5 Retail Chains)</w:t>
      </w:r>
    </w:p>
    <w:p>
      <w:pPr>
        <w:pStyle w:val="BodyText"/>
      </w:pPr>
      <w:r>
        <w:t xml:space="preserve">The data reveals a consistent acceleration pattern, with Moscow contributing 68% of total Russia sales by Q3 2023. Notably, the Actor product achieved its highest conversion rate (41%) in the Moscow enterprise segment—surpassing the regional average by 29 percentage points. This success stems from our localized go-to-market strategy, including dedicated Russian-language support teams based in Moscow and partnerships with key local technology distributors like Softline Russia.</w:t>
      </w:r>
    </w:p>
    <w:bookmarkStart w:id="23" w:name="X3ac01d06101f24fc38b31d5fd2e508f654658cf"/>
    <w:p>
      <w:pPr>
        <w:pStyle w:val="Heading2"/>
      </w:pPr>
      <w:r>
        <w:t xml:space="preserve">Key Success Factors: Why Actor Resonated in Moscow</w:t>
      </w:r>
    </w:p>
    <w:p>
      <w:pPr>
        <w:pStyle w:val="FirstParagraph"/>
      </w:pPr>
      <w:r>
        <w:rPr>
          <w:bCs/>
          <w:b/>
        </w:rPr>
        <w:t xml:space="preserve">1. Cultural Alignment:</w:t>
      </w:r>
      <w:r>
        <w:t xml:space="preserve"> </w:t>
      </w:r>
      <w:r>
        <w:t xml:space="preserve">Our marketing campaign "Actor: Your Local Partner in Moscow" emphasized Russian business values—relationship depth and face-to-face interaction—contrasting with Western competitors' impersonal approaches. This resonated deeply with Moscow's hierarchical corporate culture.</w:t>
      </w:r>
    </w:p>
    <w:p>
      <w:pPr>
        <w:pStyle w:val="BodyText"/>
      </w:pPr>
      <w:r>
        <w:rPr>
          <w:bCs/>
          <w:b/>
        </w:rPr>
        <w:t xml:space="preserve">2. Regulatory Compliance:</w:t>
      </w:r>
      <w:r>
        <w:t xml:space="preserve"> </w:t>
      </w:r>
      <w:r>
        <w:t xml:space="preserve">Actor was the first solution certified under Russia's new Data Sovereignty Law (2021), with all data stored on Moscow-based servers (Nevsky Data Center). This critical compliance feature eliminated a major adoption barrier for government-affiliated enterprises.</w:t>
      </w:r>
    </w:p>
    <w:p>
      <w:pPr>
        <w:pStyle w:val="BodyText"/>
      </w:pPr>
      <w:r>
        <w:rPr>
          <w:bCs/>
          <w:b/>
        </w:rPr>
        <w:t xml:space="preserve">3. Local Partnership Ecosystem:</w:t>
      </w:r>
      <w:r>
        <w:t xml:space="preserve"> </w:t>
      </w:r>
      <w:r>
        <w:t xml:space="preserve">Strategic alliances with Moscow-based entities like MTS Business Solutions and Yandex Cloud accelerated deployment timelines by 60% through integrated infrastructure support.</w:t>
      </w:r>
    </w:p>
    <w:p>
      <w:pPr>
        <w:pStyle w:val="BodyText"/>
      </w:pPr>
      <w:r>
        <w:rPr>
          <w:bCs/>
          <w:b/>
        </w:rPr>
        <w:t xml:space="preserve">4. Product Localization:</w:t>
      </w:r>
      <w:r>
        <w:t xml:space="preserve"> </w:t>
      </w:r>
      <w:r>
        <w:t xml:space="preserve">Beyond language, Actor incorporated Moscow-specific features: integration with local payment systems (Mir, SberPay), compliance with Russian call center regulations (GOST R 53029-2017), and seasonal campaign templates for Moscow's major events (Moscow Fashion Week, New Year promotions).</w:t>
      </w:r>
    </w:p>
    <w:bookmarkEnd w:id="23"/>
    <w:bookmarkStart w:id="24" w:name="challenges-and-strategic-adaptations"/>
    <w:p>
      <w:pPr>
        <w:pStyle w:val="Heading2"/>
      </w:pPr>
      <w:r>
        <w:t xml:space="preserve">Challenges and Strategic Adaptations</w:t>
      </w:r>
    </w:p>
    <w:p>
      <w:pPr>
        <w:pStyle w:val="FirstParagraph"/>
      </w:pPr>
      <w:r>
        <w:t xml:space="preserve">Initial market entry faced significant hurdles. In Q4 2021, Moscow enterprise sales stalled due to:</w:t>
      </w:r>
      <w:r>
        <w:t xml:space="preserve"> </w:t>
      </w:r>
      <w:r>
        <w:t xml:space="preserve">(a) Misaligned pricing models favoring Western markets,</w:t>
      </w:r>
      <w:r>
        <w:t xml:space="preserve"> </w:t>
      </w:r>
      <w:r>
        <w:t xml:space="preserve">(b) Lack of Russian-speaking technical support, and</w:t>
      </w:r>
      <w:r>
        <w:t xml:space="preserve"> </w:t>
      </w:r>
      <w:r>
        <w:t xml:space="preserve">(c) Skepticism about AI's reliability in Russian business contexts.</w:t>
      </w:r>
    </w:p>
    <w:p>
      <w:pPr>
        <w:pStyle w:val="BodyText"/>
      </w:pPr>
      <w:r>
        <w:t xml:space="preserve">Our response was immediate and targeted:</w:t>
      </w:r>
    </w:p>
    <w:p>
      <w:pPr>
        <w:numPr>
          <w:ilvl w:val="0"/>
          <w:numId w:val="1001"/>
        </w:numPr>
        <w:pStyle w:val="Compact"/>
      </w:pPr>
      <w:r>
        <w:rPr>
          <w:bCs/>
          <w:b/>
        </w:rPr>
        <w:t xml:space="preserve">Pricing Revolution:</w:t>
      </w:r>
      <w:r>
        <w:t xml:space="preserve"> </w:t>
      </w:r>
      <w:r>
        <w:t xml:space="preserve">Introduced tiered pricing with Moscow-specific bundles (e.g., "Moscow Retail Package" at $9,900/yr vs. standard $15,500)</w:t>
      </w:r>
    </w:p>
    <w:p>
      <w:pPr>
        <w:numPr>
          <w:ilvl w:val="0"/>
          <w:numId w:val="1001"/>
        </w:numPr>
        <w:pStyle w:val="Compact"/>
      </w:pPr>
      <w:r>
        <w:rPr>
          <w:bCs/>
          <w:b/>
        </w:rPr>
        <w:t xml:space="preserve">Support Localization:</w:t>
      </w:r>
      <w:r>
        <w:t xml:space="preserve"> </w:t>
      </w:r>
      <w:r>
        <w:t xml:space="preserve">Established 24/7 Moscow-based support center with native Russian-speaking technicians (reducing resolution time by 72%)</w:t>
      </w:r>
    </w:p>
    <w:p>
      <w:pPr>
        <w:numPr>
          <w:ilvl w:val="0"/>
          <w:numId w:val="1001"/>
        </w:numPr>
        <w:pStyle w:val="Compact"/>
      </w:pPr>
      <w:r>
        <w:rPr>
          <w:bCs/>
          <w:b/>
        </w:rPr>
        <w:t xml:space="preserve">Trust Building:</w:t>
      </w:r>
      <w:r>
        <w:t xml:space="preserve"> </w:t>
      </w:r>
      <w:r>
        <w:t xml:space="preserve">Launched "Actor in Action" case studies featuring Moscow success stories (e.g., luxury retailer Eliseev's 35% service efficiency gain)</w:t>
      </w:r>
    </w:p>
    <w:p>
      <w:pPr>
        <w:pStyle w:val="FirstParagraph"/>
      </w:pPr>
      <w:r>
        <w:t xml:space="preserve">These adjustments directly addressed Moscow-specific pain points, turning initial resistance into advocacy. By Q2 2022, Actor achieved a 91% customer retention rate in Moscow—exceeding industry benchmarks by 34 points.</w:t>
      </w:r>
    </w:p>
    <w:bookmarkEnd w:id="24"/>
    <w:bookmarkStart w:id="25" w:name="Xf7bbcce6c8026aa2dfa07ebaacdbce67f382a29"/>
    <w:p>
      <w:pPr>
        <w:pStyle w:val="Heading2"/>
      </w:pPr>
      <w:r>
        <w:t xml:space="preserve">Future Strategic Roadmap for Russia Moscow</w:t>
      </w:r>
    </w:p>
    <w:p>
      <w:pPr>
        <w:pStyle w:val="FirstParagraph"/>
      </w:pPr>
      <w:r>
        <w:t xml:space="preserve">Building on our momentum, the following initiatives will solidify Actor's market leadership:</w:t>
      </w:r>
    </w:p>
    <w:p>
      <w:pPr>
        <w:numPr>
          <w:ilvl w:val="0"/>
          <w:numId w:val="1002"/>
        </w:numPr>
        <w:pStyle w:val="Compact"/>
      </w:pPr>
      <w:r>
        <w:rPr>
          <w:bCs/>
          <w:b/>
        </w:rPr>
        <w:t xml:space="preserve">Moscow Innovation Hub:</w:t>
      </w:r>
      <w:r>
        <w:t xml:space="preserve"> </w:t>
      </w:r>
      <w:r>
        <w:t xml:space="preserve">Establishing a dedicated R&amp;D center in Moscow's Skolkovo Innovation Center by Q1 2024 to co-develop features with local enterprises (e.g., integration with Russian social platforms VKontakte and Telegram)</w:t>
      </w:r>
    </w:p>
    <w:p>
      <w:pPr>
        <w:numPr>
          <w:ilvl w:val="0"/>
          <w:numId w:val="1002"/>
        </w:numPr>
        <w:pStyle w:val="Compact"/>
      </w:pPr>
      <w:r>
        <w:rPr>
          <w:bCs/>
          <w:b/>
        </w:rPr>
        <w:t xml:space="preserve">Government Partnership Program:</w:t>
      </w:r>
      <w:r>
        <w:t xml:space="preserve"> </w:t>
      </w:r>
      <w:r>
        <w:t xml:space="preserve">Targeting 5+ federal agencies for Actor deployment by end-2024, leveraging Russia's "Digital Economy" initiative which allocates $8.3B for enterprise tech modernization</w:t>
      </w:r>
    </w:p>
    <w:p>
      <w:pPr>
        <w:numPr>
          <w:ilvl w:val="0"/>
          <w:numId w:val="1002"/>
        </w:numPr>
        <w:pStyle w:val="Compact"/>
      </w:pPr>
      <w:r>
        <w:rPr>
          <w:bCs/>
          <w:b/>
        </w:rPr>
        <w:t xml:space="preserve">Channel Expansion:</w:t>
      </w:r>
      <w:r>
        <w:t xml:space="preserve"> </w:t>
      </w:r>
      <w:r>
        <w:t xml:space="preserve">Onboarding 15+ Moscow-based IT solution providers through our "Actor Partner Network" to accelerate regional coverage beyond the capital</w:t>
      </w:r>
    </w:p>
    <w:p>
      <w:pPr>
        <w:pStyle w:val="FirstParagraph"/>
      </w:pPr>
      <w:r>
        <w:t xml:space="preserve">Projected outcomes for Russia Moscow by Q4 2024 include:</w:t>
      </w:r>
    </w:p>
    <w:p>
      <w:pPr>
        <w:numPr>
          <w:ilvl w:val="0"/>
          <w:numId w:val="1003"/>
        </w:numPr>
        <w:pStyle w:val="Compact"/>
      </w:pPr>
      <w:r>
        <w:t xml:space="preserve">28% market share penetration in enterprise SaaS</w:t>
      </w:r>
    </w:p>
    <w:p>
      <w:pPr>
        <w:numPr>
          <w:ilvl w:val="0"/>
          <w:numId w:val="1003"/>
        </w:numPr>
        <w:pStyle w:val="Compact"/>
      </w:pPr>
      <w:r>
        <w:t xml:space="preserve">$7.3M annual sales from Moscow alone (160% YoY growth)</w:t>
      </w:r>
    </w:p>
    <w:p>
      <w:pPr>
        <w:numPr>
          <w:ilvl w:val="0"/>
          <w:numId w:val="1003"/>
        </w:numPr>
        <w:pStyle w:val="Compact"/>
      </w:pPr>
      <w:r>
        <w:t xml:space="preserve">Establishment as the #1 AI customer engagement platform for Russian enterprises</w:t>
      </w:r>
    </w:p>
    <w:bookmarkEnd w:id="25"/>
    <w:bookmarkStart w:id="26" w:name="Xf08d48148ca01caa50f0290dbbc64d18efa24c7"/>
    <w:p>
      <w:pPr>
        <w:pStyle w:val="Heading2"/>
      </w:pPr>
      <w:r>
        <w:t xml:space="preserve">Conclusion: Actor's Unmatched Position in Russia Moscow</w:t>
      </w:r>
    </w:p>
    <w:p>
      <w:pPr>
        <w:pStyle w:val="FirstParagraph"/>
      </w:pPr>
      <w:r>
        <w:t xml:space="preserve">The Actor Sales Report unequivocally demonstrates how strategic localization—centered on Moscow's unique business ecosystem—has transformed our platform from a niche offering into the category leader. This success wasn't accidental but the result of meticulous adaptation to Russia Moscow's regulatory landscape, cultural nuances, and technological requirements. As we move toward 2025, Actor isn't just another SaaS product in Russia; it has become synonymous with modern customer engagement for enterprises operating within Moscow's dynamic business environment.</w:t>
      </w:r>
    </w:p>
    <w:p>
      <w:pPr>
        <w:pStyle w:val="BodyText"/>
      </w:pPr>
      <w:r>
        <w:t xml:space="preserve">Our market data confirms that the Actor solution delivers demonstrable ROI for Moscow-based businesses: average clients achieve 3.7x faster customer query resolution and 28% higher cross-sell rates within six months of deployment. These metrics, coupled with our rapidly expanding partner network across Russia's capital city, cement Actor as the definitive choice for enterprises seeking to thrive in Moscow's competitive marketplace.</w:t>
      </w:r>
    </w:p>
    <w:p>
      <w:pPr>
        <w:pStyle w:val="BodyText"/>
      </w:pPr>
      <w:r>
        <w:t xml:space="preserve">The road ahead is clear—deepening our Moscow leadership while replicating this model across other Russian Tier-1 cities. For now, Actor stands as a testament to how understanding local market intricacies drives global product success, proving that in the Russia Moscow arena, the right solution at the right time creates unstoppable momentum.</w:t>
      </w:r>
    </w:p>
    <w:bookmarkEnd w:id="26"/>
    <w:p>
      <w:pPr>
        <w:pStyle w:val="BodyText"/>
      </w:pPr>
      <w:r>
        <w:rPr>
          <w:bCs/>
          <w:b/>
        </w:rPr>
        <w:t xml:space="preserve">Prepared for:</w:t>
      </w:r>
      <w:r>
        <w:t xml:space="preserve"> </w:t>
      </w:r>
      <w:r>
        <w:t xml:space="preserve">Global Executive Leadership Team |</w:t>
      </w:r>
      <w:r>
        <w:t xml:space="preserve"> </w:t>
      </w:r>
      <w:r>
        <w:rPr>
          <w:bCs/>
          <w:b/>
        </w:rPr>
        <w:t xml:space="preserve">Date:</w:t>
      </w:r>
      <w:r>
        <w:t xml:space="preserve"> </w:t>
      </w:r>
      <w:r>
        <w:t xml:space="preserve">October 26, 2023 |</w:t>
      </w:r>
      <w:r>
        <w:t xml:space="preserve"> </w:t>
      </w:r>
      <w:r>
        <w:rPr>
          <w:bCs/>
          <w:b/>
        </w:rPr>
        <w:t xml:space="preserve">Report Version:</w:t>
      </w:r>
      <w:r>
        <w:t xml:space="preserve"> </w:t>
      </w:r>
      <w:r>
        <w:t xml:space="preserve">4.1</w:t>
      </w:r>
    </w:p>
    <w:p>
      <w:pPr>
        <w:pStyle w:val="BodyText"/>
      </w:pPr>
      <w:r>
        <w:t xml:space="preserve">This Sales Report is proprietary to Actor International Inc. All rights reserved. Data sources: internal CRM (Q1-Q3 2023), GFK Russia Market Intelligence, Ministry of Digital Development.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Sales Report: Russia Moscow Market Performance</dc:title>
  <dc:creator/>
  <dc:language>en</dc:language>
  <cp:keywords/>
  <dcterms:created xsi:type="dcterms:W3CDTF">2026-07-21T07:33:34Z</dcterms:created>
  <dcterms:modified xsi:type="dcterms:W3CDTF">2026-07-21T07:33:34Z</dcterms:modified>
</cp:coreProperties>
</file>

<file path=docProps/custom.xml><?xml version="1.0" encoding="utf-8"?>
<Properties xmlns="http://schemas.openxmlformats.org/officeDocument/2006/custom-properties" xmlns:vt="http://schemas.openxmlformats.org/officeDocument/2006/docPropsVTypes"/>
</file>