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9" w:name="X024e78148a62aec0881246a0da1147043a5feee"/>
    <w:p>
      <w:pPr>
        <w:pStyle w:val="Heading1"/>
      </w:pPr>
      <w:r>
        <w:t xml:space="preserve">Sales Report: Actor Product Performance in Russia Saint Petersburg Market</w:t>
      </w:r>
    </w:p>
    <w:bookmarkStart w:id="20" w:name="executive-summary"/>
    <w:p>
      <w:pPr>
        <w:pStyle w:val="Heading2"/>
      </w:pPr>
      <w:r>
        <w:t xml:space="preserve">Executive Summary</w:t>
      </w:r>
    </w:p>
    <w:p>
      <w:pPr>
        <w:pStyle w:val="FirstParagraph"/>
      </w:pPr>
      <w:r>
        <w:t xml:space="preserve">This comprehensive Sales Report details the market performance of our flagship product, "Actor," within the strategically vital region of Russia Saint Petersburg. As a leading entertainment technology solution, "Actor" has demonstrated exceptional traction since its localized launch in St. Petersburg six months ago. This document presents verified sales data, customer acquisition metrics, and regional market insights to inform future growth strategies. With Saint Petersburg representing Russia's second-largest metropolitan market for digital entertainment services, our success here is pivotal to the global expansion of the Actor product line.</w:t>
      </w:r>
    </w:p>
    <w:bookmarkEnd w:id="20"/>
    <w:bookmarkStart w:id="21" w:name="Xf4290531068031e4e9bca7f15a98c942fba1a64"/>
    <w:p>
      <w:pPr>
        <w:pStyle w:val="Heading2"/>
      </w:pPr>
      <w:r>
        <w:t xml:space="preserve">Market Context: Why Russia Saint Petersburg Matters</w:t>
      </w:r>
    </w:p>
    <w:p>
      <w:pPr>
        <w:pStyle w:val="FirstParagraph"/>
      </w:pPr>
      <w:r>
        <w:t xml:space="preserve">Russia Saint Petersburg serves as a cultural and economic epicenter that directly influences national consumer behavior. As Russia's northern capital and major tourist destination, it boasts a sophisticated audience with high disposable income—particularly among creative professionals (theatrical groups, film producers, event planners) who form our core "Actor" user base. Unlike Moscow's corporate focus, Saint Petersburg offers unique market opportunities in the arts sector where 68% of entertainment spending occurs outside major business districts. Our localized marketing campaign targeting St. Petersburg's historic theater districts has already yielded 23% higher conversion rates than national averages, proving that region-specific strategies are non-negotiable for Actor product success.</w:t>
      </w:r>
    </w:p>
    <w:bookmarkEnd w:id="21"/>
    <w:bookmarkStart w:id="22" w:name="q3-2023-sales-performance-highlights"/>
    <w:p>
      <w:pPr>
        <w:pStyle w:val="Heading2"/>
      </w:pPr>
      <w:r>
        <w:t xml:space="preserve">Q3 2023 Sales Performance Highlights</w:t>
      </w:r>
    </w:p>
    <w:p>
      <w:pPr>
        <w:pStyle w:val="FirstParagraph"/>
      </w:pPr>
      <w:r>
        <w:t xml:space="preserve">The most recent quarter (July-September) delivered record-breaking results for the Actor platform in Saint Petersburg. Total revenue reached $187,500—surpassing the regional target by 41% and marking a 285% YoY growth from Q3 2022. Key drivers include:</w:t>
      </w:r>
    </w:p>
    <w:p>
      <w:pPr>
        <w:numPr>
          <w:ilvl w:val="0"/>
          <w:numId w:val="1001"/>
        </w:numPr>
        <w:pStyle w:val="Compact"/>
      </w:pPr>
      <w:r>
        <w:rPr>
          <w:bCs/>
          <w:b/>
        </w:rPr>
        <w:t xml:space="preserve">Subscription Growth:</w:t>
      </w:r>
      <w:r>
        <w:t xml:space="preserve"> </w:t>
      </w:r>
      <w:r>
        <w:t xml:space="preserve">Net new subscribers increased by 317 units (67% quarter-over-quarter) with the highest concentration in Petrogradsky District (49%) and Vasilyevsky Island (38%).</w:t>
      </w:r>
    </w:p>
    <w:p>
      <w:pPr>
        <w:numPr>
          <w:ilvl w:val="0"/>
          <w:numId w:val="1001"/>
        </w:numPr>
        <w:pStyle w:val="Compact"/>
      </w:pPr>
      <w:r>
        <w:rPr>
          <w:bCs/>
          <w:b/>
        </w:rPr>
        <w:t xml:space="preserve">Enterprise Adoption:</w:t>
      </w:r>
      <w:r>
        <w:t xml:space="preserve"> </w:t>
      </w:r>
      <w:r>
        <w:t xml:space="preserve">Secured contracts with 12 major Saint Petersburg theaters, including the historic Mikhailovsky Theatre and the newly opened Kirov State Academic Ballet Center—accounting for 54% of total enterprise revenue.</w:t>
      </w:r>
    </w:p>
    <w:p>
      <w:pPr>
        <w:numPr>
          <w:ilvl w:val="0"/>
          <w:numId w:val="1001"/>
        </w:numPr>
        <w:pStyle w:val="Compact"/>
      </w:pPr>
      <w:r>
        <w:rPr>
          <w:bCs/>
          <w:b/>
        </w:rPr>
        <w:t xml:space="preserve">Localized Features:</w:t>
      </w:r>
      <w:r>
        <w:t xml:space="preserve"> </w:t>
      </w:r>
      <w:r>
        <w:t xml:space="preserve">The Russian-language interface update launched in August directly contributed to a 33% reduction in customer support tickets related to language barriers.</w:t>
      </w:r>
    </w:p>
    <w:bookmarkEnd w:id="22"/>
    <w:bookmarkStart w:id="23" w:name="X12decfe6b3f525cf573504e3a07a0692001bdb1"/>
    <w:p>
      <w:pPr>
        <w:pStyle w:val="Heading2"/>
      </w:pPr>
      <w:r>
        <w:t xml:space="preserve">Customer Insights: Saint Petersburg User Behavior</w:t>
      </w:r>
    </w:p>
    <w:p>
      <w:pPr>
        <w:pStyle w:val="FirstParagraph"/>
      </w:pPr>
      <w:r>
        <w:t xml:space="preserve">Data from Actor's analytics dashboard reveals distinct usage patterns among our St. Petersburg users that differ significantly from other Russian regions:</w:t>
      </w:r>
    </w:p>
    <w:p>
      <w:pPr>
        <w:pStyle w:val="BodyText"/>
      </w:pPr>
      <w:r>
        <w:rPr>
          <w:bCs/>
          <w:b/>
        </w:rPr>
        <w:t xml:space="preserve">Usage Patterns:</w:t>
      </w:r>
      <w:r>
        <w:t xml:space="preserve"> </w:t>
      </w:r>
      <w:r>
        <w:t xml:space="preserve">78% of Saint Petersburg subscribers utilize the "Virtual Casting" feature during pre-production planning—compared to 42% nationally. This aligns with the city's status as Russia's third-largest film production hub, hosting over 350 annual projects.</w:t>
      </w:r>
    </w:p>
    <w:p>
      <w:pPr>
        <w:pStyle w:val="BodyText"/>
      </w:pPr>
      <w:r>
        <w:rPr>
          <w:bCs/>
          <w:b/>
        </w:rPr>
        <w:t xml:space="preserve">Customer Satisfaction:</w:t>
      </w:r>
      <w:r>
        <w:t xml:space="preserve"> </w:t>
      </w:r>
      <w:r>
        <w:t xml:space="preserve">Net Promoter Score (NPS) reached 76 in Saint Petersburg—19 points above the Russian average—driven by our partnership with the Saint Petersburg State Theatre School. The "Actor" platform now serves as a required tool for all 1,200+ students at this institution.</w:t>
      </w:r>
    </w:p>
    <w:p>
      <w:pPr>
        <w:pStyle w:val="BodyText"/>
      </w:pPr>
      <w:r>
        <w:rPr>
          <w:bCs/>
          <w:b/>
        </w:rPr>
        <w:t xml:space="preserve">Feedback Integration:</w:t>
      </w:r>
      <w:r>
        <w:t xml:space="preserve"> </w:t>
      </w:r>
      <w:r>
        <w:t xml:space="preserve">User requests for integration with local systems (e.g., Saint Petersburg City Cultural Department's event management portal) accelerated our development cycle by 3 weeks. This localized adaptation directly contributed to a 44% increase in multi-user enterprise plans.</w:t>
      </w:r>
    </w:p>
    <w:bookmarkEnd w:id="23"/>
    <w:bookmarkStart w:id="24" w:name="competitive-landscape-analysis"/>
    <w:p>
      <w:pPr>
        <w:pStyle w:val="Heading2"/>
      </w:pPr>
      <w:r>
        <w:t xml:space="preserve">Competitive Landscape Analysis</w:t>
      </w:r>
    </w:p>
    <w:p>
      <w:pPr>
        <w:pStyle w:val="FirstParagraph"/>
      </w:pPr>
      <w:r>
        <w:t xml:space="preserve">The Saint Petersburg market for performance management tools is highly fragmented, with three key competitors: Moscow-based "StagePro," Ukrainian "TheatreFlow," and local startup "Petersburg Actors Network." Our differentiation in Russia Saint Petersburg stems from two strategic advantages:</w:t>
      </w:r>
    </w:p>
    <w:p>
      <w:pPr>
        <w:numPr>
          <w:ilvl w:val="0"/>
          <w:numId w:val="1002"/>
        </w:numPr>
        <w:pStyle w:val="Compact"/>
      </w:pPr>
      <w:r>
        <w:rPr>
          <w:bCs/>
          <w:b/>
        </w:rPr>
        <w:t xml:space="preserve">Hyper-Local Partnerships:</w:t>
      </w:r>
      <w:r>
        <w:t xml:space="preserve"> </w:t>
      </w:r>
      <w:r>
        <w:t xml:space="preserve">Collaborations with cultural institutions like the Russian State Puppet Theatre (a St. Petersburg landmark) created exclusive content bundles that drove 39% of new sign-ups.</w:t>
      </w:r>
    </w:p>
    <w:p>
      <w:pPr>
        <w:numPr>
          <w:ilvl w:val="0"/>
          <w:numId w:val="1002"/>
        </w:numPr>
        <w:pStyle w:val="Compact"/>
      </w:pPr>
      <w:r>
        <w:rPr>
          <w:bCs/>
          <w:b/>
        </w:rPr>
        <w:t xml:space="preserve">Cultural Intelligence:</w:t>
      </w:r>
      <w:r>
        <w:t xml:space="preserve"> </w:t>
      </w:r>
      <w:r>
        <w:t xml:space="preserve">Unlike competitors using generic templates, Actor's marketing campaigns directly referenced Saint Petersburg's artistic heritage—such as our "Summer Festival Suite" campaign featuring imagery from the annual White Nights Festival.</w:t>
      </w:r>
    </w:p>
    <w:bookmarkEnd w:id="24"/>
    <w:bookmarkStart w:id="25" w:name="challenges-and-strategic-adjustments"/>
    <w:p>
      <w:pPr>
        <w:pStyle w:val="Heading2"/>
      </w:pPr>
      <w:r>
        <w:t xml:space="preserve">Challenges and Strategic Adjustments</w:t>
      </w:r>
    </w:p>
    <w:p>
      <w:pPr>
        <w:pStyle w:val="FirstParagraph"/>
      </w:pPr>
      <w:r>
        <w:t xml:space="preserve">Despite strong performance, we encountered two significant challenges requiring immediate adaptation in Russia Saint Petersburg:</w:t>
      </w:r>
    </w:p>
    <w:p>
      <w:pPr>
        <w:numPr>
          <w:ilvl w:val="0"/>
          <w:numId w:val="1003"/>
        </w:numPr>
        <w:pStyle w:val="Compact"/>
      </w:pPr>
      <w:r>
        <w:rPr>
          <w:bCs/>
          <w:b/>
        </w:rPr>
        <w:t xml:space="preserve">Payment Method Preferences:</w:t>
      </w:r>
      <w:r>
        <w:t xml:space="preserve"> </w:t>
      </w:r>
      <w:r>
        <w:t xml:space="preserve">Initial reliance on international cards caused 27% of potential transactions to drop off. Solution: Implemented Yandex.Money and Sberbank Online integrations by September, reducing cart abandonment by 63%.</w:t>
      </w:r>
    </w:p>
    <w:p>
      <w:pPr>
        <w:numPr>
          <w:ilvl w:val="0"/>
          <w:numId w:val="1003"/>
        </w:numPr>
        <w:pStyle w:val="Compact"/>
      </w:pPr>
      <w:r>
        <w:rPr>
          <w:bCs/>
          <w:b/>
        </w:rPr>
        <w:t xml:space="preserve">Seasonal Demand Fluctuations:</w:t>
      </w:r>
      <w:r>
        <w:t xml:space="preserve"> </w:t>
      </w:r>
      <w:r>
        <w:t xml:space="preserve">Reduced activity during August (summer holidays) required inventory adjustments. Solution: Launched "St. Petersburg Cultural Residency" packages with fixed pricing for the off-season, capturing 187 new clients during traditionally slow months.</w:t>
      </w:r>
    </w:p>
    <w:bookmarkEnd w:id="25"/>
    <w:bookmarkStart w:id="26" w:name="X10ae380947359bf7582dfc921b74d4111102729"/>
    <w:p>
      <w:pPr>
        <w:pStyle w:val="Heading2"/>
      </w:pPr>
      <w:r>
        <w:t xml:space="preserve">Future Outlook: Actor Expansion in Russia Saint Petersburg</w:t>
      </w:r>
    </w:p>
    <w:p>
      <w:pPr>
        <w:pStyle w:val="FirstParagraph"/>
      </w:pPr>
      <w:r>
        <w:t xml:space="preserve">Based on current momentum, our Q4 forecast projects $250,000+ revenue for Saint Petersburg—representing 37% of Actor's total Russian sales. Immediate priorities include:</w:t>
      </w:r>
    </w:p>
    <w:p>
      <w:pPr>
        <w:numPr>
          <w:ilvl w:val="0"/>
          <w:numId w:val="1004"/>
        </w:numPr>
        <w:pStyle w:val="Compact"/>
      </w:pPr>
      <w:r>
        <w:rPr>
          <w:bCs/>
          <w:b/>
        </w:rPr>
        <w:t xml:space="preserve">University Partnerships:</w:t>
      </w:r>
      <w:r>
        <w:t xml:space="preserve"> </w:t>
      </w:r>
      <w:r>
        <w:t xml:space="preserve">Formalizing "Actor Academic Access" with Saint Petersburg University of Culture and Arts to reach 12,000 students.</w:t>
      </w:r>
    </w:p>
    <w:p>
      <w:pPr>
        <w:numPr>
          <w:ilvl w:val="0"/>
          <w:numId w:val="1004"/>
        </w:numPr>
        <w:pStyle w:val="Compact"/>
      </w:pPr>
      <w:r>
        <w:rPr>
          <w:bCs/>
          <w:b/>
        </w:rPr>
        <w:t xml:space="preserve">Government Collaboration:</w:t>
      </w:r>
      <w:r>
        <w:t xml:space="preserve"> </w:t>
      </w:r>
      <w:r>
        <w:t xml:space="preserve">Negotiating a pilot program with the Saint Petersburg Department of Culture for city-wide adoption in municipal theaters.</w:t>
      </w:r>
    </w:p>
    <w:p>
      <w:pPr>
        <w:numPr>
          <w:ilvl w:val="0"/>
          <w:numId w:val="1004"/>
        </w:numPr>
        <w:pStyle w:val="Compact"/>
      </w:pPr>
      <w:r>
        <w:rPr>
          <w:bCs/>
          <w:b/>
        </w:rPr>
        <w:t xml:space="preserve">Localized Content Hub:</w:t>
      </w:r>
      <w:r>
        <w:t xml:space="preserve"> </w:t>
      </w:r>
      <w:r>
        <w:t xml:space="preserve">Launching "Actor Saint Petersburg Studio" to feature local talent showcases, directly addressing demand from 62% of surveyed users.</w:t>
      </w:r>
    </w:p>
    <w:bookmarkEnd w:id="26"/>
    <w:bookmarkStart w:id="28" w:name="conclusion"/>
    <w:p>
      <w:pPr>
        <w:pStyle w:val="Heading2"/>
      </w:pPr>
      <w:r>
        <w:t xml:space="preserve">Conclusion</w:t>
      </w:r>
    </w:p>
    <w:p>
      <w:pPr>
        <w:pStyle w:val="FirstParagraph"/>
      </w:pPr>
      <w:r>
        <w:t xml:space="preserve">This Sales Report confirms that Russia Saint Petersburg represents a high-value market for the Actor platform where localized strategy drives superior results. The region's unique cultural ecosystem—combining historic artistic institutions with modern tech adoption—has made it our most successful operational territory outside Moscow. As we refine Actor's approach for Saint Petersburg, we're setting a benchmark for regional adaptation across Russia. With 89% of St. Petersburg customers expressing intent to expand their Actor usage in 2024, this market is no longer just important—it's the blueprint for our entire Russian growth strategy.</w:t>
      </w:r>
    </w:p>
    <w:p>
      <w:pPr>
        <w:pStyle w:val="BodyText"/>
      </w:pPr>
      <w:r>
        <w:rPr>
          <w:bCs/>
          <w:b/>
        </w:rPr>
        <w:t xml:space="preserve">Recommendation:</w:t>
      </w:r>
      <w:r>
        <w:t xml:space="preserve"> </w:t>
      </w:r>
      <w:r>
        <w:t xml:space="preserve">Allocate additional R&amp;D resources to Saint Petersburg-specific feature development, given its exceptional ROI and cultural significance. The success of Actor in Russia Saint Petersburg validates that regional customization isn't optional—it's the foundation for sustainable market leadership.</w:t>
      </w:r>
    </w:p>
    <w:bookmarkStart w:id="27" w:name="sales-data-appendix-q3-2023"/>
    <w:p>
      <w:pPr>
        <w:pStyle w:val="Heading3"/>
      </w:pPr>
      <w:r>
        <w:t xml:space="preserve">Sales Data Appendix (Q3 2023)</w:t>
      </w:r>
    </w:p>
    <w:p>
      <w:pPr>
        <w:pStyle w:val="FirstParagraph"/>
      </w:pPr>
      <w:r>
        <w:t xml:space="preserve">Metrics</w:t>
      </w:r>
    </w:p>
    <w:p>
      <w:pPr>
        <w:pStyle w:val="BodyText"/>
      </w:pPr>
      <w:r>
        <w:t xml:space="preserve">St. Petersburg</w:t>
      </w:r>
    </w:p>
    <w:p>
      <w:pPr>
        <w:pStyle w:val="BodyText"/>
      </w:pPr>
      <w:r>
        <w:t xml:space="preserve">Russia Average</w:t>
      </w:r>
    </w:p>
    <w:p>
      <w:pPr>
        <w:pStyle w:val="BodyText"/>
      </w:pPr>
      <w:r>
        <w:t xml:space="preserve">Δ vs National</w:t>
      </w:r>
    </w:p>
    <w:p>
      <w:pPr>
        <w:pStyle w:val="BodyText"/>
      </w:pPr>
      <w:r>
        <w:t xml:space="preserve">Revenue Growth (QoQ)</w:t>
      </w:r>
    </w:p>
    <w:p>
      <w:pPr>
        <w:pStyle w:val="BodyText"/>
      </w:pPr>
      <w:r>
        <w:t xml:space="preserve">285%</w:t>
      </w:r>
    </w:p>
    <w:p>
      <w:pPr>
        <w:pStyle w:val="BodyText"/>
      </w:pPr>
      <w:r>
        <w:t xml:space="preserve">104%</w:t>
      </w:r>
    </w:p>
    <w:p>
      <w:pPr>
        <w:pStyle w:val="BodyText"/>
      </w:pPr>
      <w:r>
        <w:t xml:space="preserve">+181%</w:t>
      </w:r>
    </w:p>
    <w:p>
      <w:pPr>
        <w:pStyle w:val="BodyText"/>
      </w:pPr>
      <w:r>
        <w:t xml:space="preserve">New Subscribers</w:t>
      </w:r>
    </w:p>
    <w:p>
      <w:pPr>
        <w:pStyle w:val="BodyText"/>
      </w:pPr>
      <w:r>
        <w:t xml:space="preserve">317</w:t>
      </w:r>
    </w:p>
    <w:p>
      <w:pPr>
        <w:pStyle w:val="BodyText"/>
      </w:pPr>
      <w:r>
        <w:t xml:space="preserve">&lt;</w:t>
      </w:r>
    </w:p>
    <w:p>
      <w:pPr>
        <w:pStyle w:val="BodyText"/>
      </w:pPr>
      <w:r>
        <w:t xml:space="preserve">95</w:t>
      </w:r>
    </w:p>
    <w:p>
      <w:pPr>
        <w:pStyle w:val="BodyText"/>
      </w:pPr>
      <w:r>
        <w:t xml:space="preserve">Customer Acquisition Cost (CAC)</w:t>
      </w:r>
    </w:p>
    <w:p>
      <w:pPr>
        <w:pStyle w:val="BodyText"/>
      </w:pPr>
      <w:r>
        <w:t xml:space="preserve">St. Petersburg CAC</w:t>
      </w:r>
    </w:p>
    <w:p>
      <w:pPr>
        <w:pStyle w:val="BodyText"/>
      </w:pPr>
      <w:r>
        <w:t xml:space="preserve">$28.60</w:t>
      </w:r>
    </w:p>
    <w:p>
      <w:pPr>
        <w:pStyle w:val="BodyText"/>
      </w:pPr>
      <w:r>
        <w:t xml:space="preserve">Russia Average CAC</w:t>
      </w:r>
    </w:p>
    <w:p>
      <w:pPr>
        <w:pStyle w:val="BodyText"/>
      </w:pPr>
      <w:r>
        <w:t xml:space="preserve">$58.20</w:t>
      </w:r>
    </w:p>
    <w:p>
      <w:pPr>
        <w:pStyle w:val="BodyText"/>
      </w:pPr>
      <w:r>
        <w:t xml:space="preserve">This Sales Report was prepared for executive review on October 15, 2023, with all data verified through Actor's analytics platform and Saint Petersburg market intelligence partnerships.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Russia Saint Petersburg Market Analysis</dc:title>
  <dc:creator/>
  <dc:language>en</dc:language>
  <cp:keywords/>
  <dcterms:created xsi:type="dcterms:W3CDTF">2026-07-24T04:06:39Z</dcterms:created>
  <dcterms:modified xsi:type="dcterms:W3CDTF">2026-07-24T04:06:39Z</dcterms:modified>
</cp:coreProperties>
</file>

<file path=docProps/custom.xml><?xml version="1.0" encoding="utf-8"?>
<Properties xmlns="http://schemas.openxmlformats.org/officeDocument/2006/custom-properties" xmlns:vt="http://schemas.openxmlformats.org/officeDocument/2006/docPropsVTypes"/>
</file>