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Service</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e64e10c3c8cc9ae8526a0845513b41b905abcbf"/>
    <w:p>
      <w:pPr>
        <w:pStyle w:val="Heading1"/>
      </w:pPr>
      <w:r>
        <w:t xml:space="preserve">Comprehensive Sales Report: Actor Service Performance Analysis for Saudi Arabia Riyadh Market (Q3 2023)</w:t>
      </w:r>
    </w:p>
    <w:p>
      <w:pPr>
        <w:pStyle w:val="FirstParagraph"/>
      </w:pPr>
      <w:r>
        <w:rPr>
          <w:bCs/>
          <w:b/>
        </w:rPr>
        <w:t xml:space="preserve">Prepared For:</w:t>
      </w:r>
      <w:r>
        <w:t xml:space="preserve"> </w:t>
      </w:r>
      <w:r>
        <w:t xml:space="preserve">Executive Leadership, Global Expansion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premium "Actor" talent service within the dynamic entertainment and corporate events sector of Riyadh, Saudi Arabia. The "Actor" service—a specialized platform connecting high-caliber performers with clients across experiential marketing, hospitality, and cultural initiatives—achieved remarkable growth during Q3 2023. We recorded a 47% year-over-year revenue increase in Riyadh, securing contracts with 38 major clients including luxury hotel chains, government event organizers under Vision 2030 initiatives, and leading F&amp;B brands. This success underscores the strategic importance of culturally attuned performance services in Saudi Arabia's rapidly expanding entertainment ecosystem centered on Riyadh.</w:t>
      </w:r>
    </w:p>
    <w:bookmarkEnd w:id="20"/>
    <w:bookmarkStart w:id="21" w:name="Xbd947e77dc8f28daf7de5bf2c31c6f0cfa974e2"/>
    <w:p>
      <w:pPr>
        <w:pStyle w:val="Heading2"/>
      </w:pPr>
      <w:r>
        <w:t xml:space="preserve">II. Market Context: Actor Service in Saudi Arabia Riyadh</w:t>
      </w:r>
    </w:p>
    <w:p>
      <w:pPr>
        <w:pStyle w:val="FirstParagraph"/>
      </w:pPr>
      <w:r>
        <w:t xml:space="preserve">Riyadh, as the political and economic capital of Saudi Arabia, has emerged as the epicenter for Vision 2030's entertainment transformation. With over 45 new cultural venues opened since 2019 (including Diriyah Gate and Qiddiya), demand for professional performers has surged. Our "Actor" service uniquely addresses this market need by providing:</w:t>
      </w:r>
      <w:r>
        <w:br/>
      </w:r>
      <w:r>
        <w:t xml:space="preserve">• Gender-appropriate talent matching compliant with Saudi cultural norms</w:t>
      </w:r>
      <w:r>
        <w:br/>
      </w:r>
      <w:r>
        <w:t xml:space="preserve">• Localized performance content aligned with regional traditions and modernization goals</w:t>
      </w:r>
      <w:r>
        <w:br/>
      </w:r>
      <w:r>
        <w:t xml:space="preserve">• Integrated logistics support within Riyadh's rapidly developing event infrastructure</w:t>
      </w:r>
    </w:p>
    <w:p>
      <w:pPr>
        <w:pStyle w:val="BodyText"/>
      </w:pPr>
      <w:r>
        <w:t xml:space="preserve">The Saudi government's aggressive push for entertainment diversification (projected $47 billion investment in the sector by 2030) has created unprecedented opportunity. Our "Actor" service is positioned as a critical enabler for brands navigating this new landscape, particularly during Riyadh Season and regional festivals where demand peaks.</w:t>
      </w:r>
    </w:p>
    <w:bookmarkEnd w:id="21"/>
    <w:bookmarkStart w:id="22" w:name="X01f240bc16e0e23c92bc2314ce9d8607d22b38a"/>
    <w:p>
      <w:pPr>
        <w:pStyle w:val="Heading2"/>
      </w:pPr>
      <w:r>
        <w:t xml:space="preserve">III. Sales Performance Metrics (Riyadh Specific)</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YOY Change</w:t>
            </w:r>
          </w:p>
        </w:tc>
      </w:tr>
      <w:tr>
        <w:tc>
          <w:tcPr/>
          <w:p>
            <w:pPr>
              <w:pStyle w:val="Compact"/>
              <w:jc w:val="left"/>
            </w:pPr>
            <w:r>
              <w:t xml:space="preserve">Total Revenue (SAR)</w:t>
            </w:r>
          </w:p>
        </w:tc>
        <w:tc>
          <w:tcPr/>
          <w:p>
            <w:pPr>
              <w:pStyle w:val="Compact"/>
              <w:jc w:val="left"/>
            </w:pPr>
            <w:r>
              <w:t xml:space="preserve">14,850,000</w:t>
            </w:r>
          </w:p>
        </w:tc>
        <w:tc>
          <w:tcPr/>
          <w:p>
            <w:pPr>
              <w:pStyle w:val="Compact"/>
              <w:jc w:val="left"/>
            </w:pPr>
            <w:r>
              <w:t xml:space="preserve">10,123,500</w:t>
            </w:r>
          </w:p>
        </w:tc>
        <w:tc>
          <w:tcPr/>
          <w:p>
            <w:pPr>
              <w:pStyle w:val="Compact"/>
              <w:jc w:val="left"/>
            </w:pPr>
            <w:r>
              <w:t xml:space="preserve">+47%</w:t>
            </w:r>
          </w:p>
        </w:tc>
      </w:tr>
      <w:tr>
        <w:tc>
          <w:tcPr/>
          <w:p>
            <w:pPr>
              <w:pStyle w:val="Compact"/>
              <w:jc w:val="left"/>
            </w:pPr>
            <w:r>
              <w:t xml:space="preserve">New Client Acquisition (Riyadh)</w:t>
            </w:r>
          </w:p>
        </w:tc>
        <w:tc>
          <w:tcPr/>
          <w:p>
            <w:pPr>
              <w:pStyle w:val="Compact"/>
              <w:jc w:val="left"/>
            </w:pPr>
            <w:r>
              <w:t xml:space="preserve">38</w:t>
            </w:r>
          </w:p>
        </w:tc>
        <w:tc>
          <w:tcPr/>
          <w:p>
            <w:pPr>
              <w:pStyle w:val="Compact"/>
              <w:jc w:val="left"/>
            </w:pPr>
            <w:r>
              <w:t xml:space="preserve">22</w:t>
            </w:r>
          </w:p>
        </w:tc>
        <w:tc>
          <w:tcPr/>
          <w:p>
            <w:pPr>
              <w:pStyle w:val="Compact"/>
              <w:jc w:val="left"/>
            </w:pPr>
            <w:r>
              <w:t xml:space="preserve">+72.7%</w:t>
            </w:r>
          </w:p>
        </w:tc>
      </w:tr>
      <w:tr>
        <w:tc>
          <w:tcPr/>
          <w:p>
            <w:pPr>
              <w:pStyle w:val="Compact"/>
              <w:jc w:val="left"/>
            </w:pPr>
            <w:r>
              <w:t xml:space="preserve">Average Contract Value (SAR)</w:t>
            </w:r>
          </w:p>
        </w:tc>
        <w:tc>
          <w:tcPr/>
          <w:p>
            <w:pPr>
              <w:pStyle w:val="Compact"/>
              <w:jc w:val="left"/>
            </w:pPr>
            <w:r>
              <w:t xml:space="preserve">390,789</w:t>
            </w:r>
          </w:p>
        </w:tc>
        <w:tc>
          <w:tcPr/>
          <w:p>
            <w:pPr>
              <w:pStyle w:val="Compact"/>
              <w:jc w:val="left"/>
            </w:pPr>
            <w:r>
              <w:t xml:space="preserve">316,350</w:t>
            </w:r>
          </w:p>
        </w:tc>
        <w:tc>
          <w:tcPr/>
          <w:p>
            <w:pPr>
              <w:pStyle w:val="Compact"/>
              <w:jc w:val="left"/>
            </w:pPr>
            <w:r>
              <w:t xml:space="preserve">+23.5%</w:t>
            </w:r>
          </w:p>
        </w:tc>
      </w:tr>
      <w:tr>
        <w:tc>
          <w:tcPr/>
          <w:p>
            <w:pPr>
              <w:pStyle w:val="Compact"/>
              <w:jc w:val="left"/>
            </w:pPr>
            <w:r>
              <w:t xml:space="preserve">Talent Utilization Rate (Riyadh)</w:t>
            </w:r>
          </w:p>
        </w:tc>
        <w:tc>
          <w:tcPr/>
          <w:p>
            <w:pPr>
              <w:pStyle w:val="Compact"/>
              <w:jc w:val="left"/>
            </w:pPr>
            <w:r>
              <w:t xml:space="preserve">89.4%</w:t>
            </w:r>
          </w:p>
        </w:tc>
        <w:tc>
          <w:tcPr/>
          <w:p>
            <w:pPr>
              <w:pStyle w:val="Compact"/>
              <w:jc w:val="left"/>
            </w:pPr>
            <w:r>
              <w:t xml:space="preserve">76.1%</w:t>
            </w:r>
          </w:p>
        </w:tc>
        <w:tc>
          <w:tcPr/>
          <w:p>
            <w:pPr>
              <w:pStyle w:val="Compact"/>
              <w:jc w:val="left"/>
            </w:pPr>
            <w:r>
              <w:t xml:space="preserve">+13.3 pp</w:t>
            </w:r>
          </w:p>
        </w:tc>
      </w:tr>
    </w:tbl>
    <w:p>
      <w:pPr>
        <w:pStyle w:val="BodyText"/>
      </w:pPr>
      <w:r>
        <w:rPr>
          <w:bCs/>
          <w:b/>
        </w:rPr>
        <w:t xml:space="preserve">Key Growth Drivers:</w:t>
      </w:r>
    </w:p>
    <w:p>
      <w:pPr>
        <w:numPr>
          <w:ilvl w:val="0"/>
          <w:numId w:val="1001"/>
        </w:numPr>
        <w:pStyle w:val="Compact"/>
      </w:pPr>
      <w:r>
        <w:rPr>
          <w:bCs/>
          <w:b/>
        </w:rPr>
        <w:t xml:space="preserve">Vision 2030 Alignment:</w:t>
      </w:r>
      <w:r>
        <w:t xml:space="preserve"> </w:t>
      </w:r>
      <w:r>
        <w:t xml:space="preserve">76% of contracts secured with clients participating in government-backed initiatives (e.g., Riyadh Development Authority events)</w:t>
      </w:r>
    </w:p>
    <w:p>
      <w:pPr>
        <w:numPr>
          <w:ilvl w:val="0"/>
          <w:numId w:val="1001"/>
        </w:numPr>
        <w:pStyle w:val="Compact"/>
      </w:pPr>
      <w:r>
        <w:rPr>
          <w:bCs/>
          <w:b/>
        </w:rPr>
        <w:t xml:space="preserve">Cultural Competency:</w:t>
      </w:r>
      <w:r>
        <w:t xml:space="preserve"> </w:t>
      </w:r>
      <w:r>
        <w:t xml:space="preserve">Service differentiator—100% of talent trained on Saudi customs, gender protocols, and religious sensitivity for Riyadh's market</w:t>
      </w:r>
    </w:p>
    <w:p>
      <w:pPr>
        <w:numPr>
          <w:ilvl w:val="0"/>
          <w:numId w:val="1001"/>
        </w:numPr>
        <w:pStyle w:val="Compact"/>
      </w:pPr>
      <w:r>
        <w:rPr>
          <w:bCs/>
          <w:b/>
        </w:rPr>
        <w:t xml:space="preserve">Event Seasonality:</w:t>
      </w:r>
      <w:r>
        <w:t xml:space="preserve"> </w:t>
      </w:r>
      <w:r>
        <w:t xml:space="preserve">63% of revenue generated during Riyadh Season (July-Sept), leveraging peak tourism traffic</w:t>
      </w:r>
    </w:p>
    <w:bookmarkEnd w:id="22"/>
    <w:bookmarkStart w:id="26" w:name="Xe09d26f1038a2095ba0f0cc280966730b6107c0"/>
    <w:p>
      <w:pPr>
        <w:pStyle w:val="Heading2"/>
      </w:pPr>
      <w:r>
        <w:t xml:space="preserve">IV. Client Success Stories in Saudi Arabia Riyadh</w:t>
      </w:r>
    </w:p>
    <w:p>
      <w:pPr>
        <w:pStyle w:val="FirstParagraph"/>
      </w:pPr>
      <w:r>
        <w:t xml:space="preserve">The "Actor" service delivered exceptional value across key sectors within Riyadh:</w:t>
      </w:r>
    </w:p>
    <w:bookmarkStart w:id="23" w:name="a.-luxury-hospitality-sector"/>
    <w:p>
      <w:pPr>
        <w:pStyle w:val="Heading3"/>
      </w:pPr>
      <w:r>
        <w:t xml:space="preserve">A. Luxury Hospitality Sector</w:t>
      </w:r>
    </w:p>
    <w:p>
      <w:pPr>
        <w:pStyle w:val="FirstParagraph"/>
      </w:pPr>
      <w:r>
        <w:t xml:space="preserve">Partnered with Al Wadi Resort and Ritz-Carlton Riyadh to create culturally resonant guest entertainment during Ramadan and Eid celebrations. Our performers enacted traditional Saudi storytelling (Al-Ra'aya) blended with modern theatrical techniques, increasing guest satisfaction scores by 28% according to client feedback. This project directly supported Vision 2030's goal of elevating tourism experiences.</w:t>
      </w:r>
    </w:p>
    <w:bookmarkEnd w:id="23"/>
    <w:bookmarkStart w:id="24" w:name="b.-government-corporate-events"/>
    <w:p>
      <w:pPr>
        <w:pStyle w:val="Heading3"/>
      </w:pPr>
      <w:r>
        <w:t xml:space="preserve">B. Government &amp; Corporate Events</w:t>
      </w:r>
    </w:p>
    <w:p>
      <w:pPr>
        <w:pStyle w:val="FirstParagraph"/>
      </w:pPr>
      <w:r>
        <w:t xml:space="preserve">Secured the largest contract to date (SAR 1,850,000) with the Ministry of Culture for Riyadh's "Heritage Week" event series. The "Actor" service delivered 22 culturally vetted performers across 9 venues including King Abdulaziz Center for National Dialogue. All performances adhered strictly to Saudi cultural guidelines while innovating traditional formats—resulting in a 95% client retention rate.</w:t>
      </w:r>
    </w:p>
    <w:bookmarkEnd w:id="24"/>
    <w:bookmarkStart w:id="25" w:name="c.-retail-brand-activation"/>
    <w:p>
      <w:pPr>
        <w:pStyle w:val="Heading3"/>
      </w:pPr>
      <w:r>
        <w:t xml:space="preserve">C. Retail &amp; Brand Activation</w:t>
      </w:r>
    </w:p>
    <w:p>
      <w:pPr>
        <w:pStyle w:val="FirstParagraph"/>
      </w:pPr>
      <w:r>
        <w:t xml:space="preserve">Executed high-impact campaigns for global brands like Samsung and Nike at Riyadh Park, using "Actor" talent for interactive pop-up experiences. These events generated an average of 24,000 impressions per performance with a 68% conversion rate to social media engagement—significantly exceeding industry benchmarks in Saudi Arabia.</w:t>
      </w:r>
    </w:p>
    <w:bookmarkEnd w:id="25"/>
    <w:bookmarkEnd w:id="26"/>
    <w:bookmarkStart w:id="27" w:name="v.-strategic-challenges-solutions"/>
    <w:p>
      <w:pPr>
        <w:pStyle w:val="Heading2"/>
      </w:pPr>
      <w:r>
        <w:t xml:space="preserve">V. Strategic Challenges &amp; Solutions</w:t>
      </w:r>
    </w:p>
    <w:p>
      <w:pPr>
        <w:pStyle w:val="FirstParagraph"/>
      </w:pPr>
      <w:r>
        <w:t xml:space="preserve">While growth was robust, we identified key challenges specific to the Riyadh market:</w:t>
      </w:r>
    </w:p>
    <w:p>
      <w:pPr>
        <w:numPr>
          <w:ilvl w:val="0"/>
          <w:numId w:val="1002"/>
        </w:numPr>
        <w:pStyle w:val="Compact"/>
      </w:pPr>
      <w:r>
        <w:rPr>
          <w:bCs/>
          <w:b/>
        </w:rPr>
        <w:t xml:space="preserve">Cultural Sensitivity Requirements:</w:t>
      </w:r>
      <w:r>
        <w:t xml:space="preserve"> </w:t>
      </w:r>
      <w:r>
        <w:t xml:space="preserve">Initially faced delays due to mismatched talent for gender-segregated events. Solution: Implemented mandatory Saudi Cultural Certification for all performers and established a Riyadh-based cultural compliance team.</w:t>
      </w:r>
    </w:p>
    <w:p>
      <w:pPr>
        <w:numPr>
          <w:ilvl w:val="0"/>
          <w:numId w:val="1002"/>
        </w:numPr>
        <w:pStyle w:val="Compact"/>
      </w:pPr>
      <w:r>
        <w:rPr>
          <w:bCs/>
          <w:b/>
        </w:rPr>
        <w:t xml:space="preserve">Talent Pipeline Constraints:</w:t>
      </w:r>
      <w:r>
        <w:t xml:space="preserve"> </w:t>
      </w:r>
      <w:r>
        <w:t xml:space="preserve">Limited local pool of trained performers. Solution: Partnered with Princess Nourah University's Performing Arts Department to launch "Actor Talent Academy" in Riyadh, training 120 new candidates (78% female) within Q3.</w:t>
      </w:r>
    </w:p>
    <w:p>
      <w:pPr>
        <w:numPr>
          <w:ilvl w:val="0"/>
          <w:numId w:val="1002"/>
        </w:numPr>
        <w:pStyle w:val="Compact"/>
      </w:pPr>
      <w:r>
        <w:rPr>
          <w:bCs/>
          <w:b/>
        </w:rPr>
        <w:t xml:space="preserve">Logistics Complexity:</w:t>
      </w:r>
      <w:r>
        <w:t xml:space="preserve"> </w:t>
      </w:r>
      <w:r>
        <w:t xml:space="preserve">High demand for last-minute events across Riyadh's expanding venue network. Solution: Deployed a dedicated Riyadh logistics hub with real-time scheduling tech reducing response times by 42%.</w:t>
      </w:r>
    </w:p>
    <w:bookmarkEnd w:id="27"/>
    <w:bookmarkStart w:id="28" w:name="Xd06603b799bd531137323e6d24f07fa87a3b0b0"/>
    <w:p>
      <w:pPr>
        <w:pStyle w:val="Heading2"/>
      </w:pPr>
      <w:r>
        <w:t xml:space="preserve">VI. Future Strategy: Scaling Actor Service in Saudi Arabia</w:t>
      </w:r>
    </w:p>
    <w:p>
      <w:pPr>
        <w:pStyle w:val="FirstParagraph"/>
      </w:pPr>
      <w:r>
        <w:t xml:space="preserve">Building on Q3 success, our roadmap for the "Actor" service in Riyadh includes:</w:t>
      </w:r>
    </w:p>
    <w:p>
      <w:pPr>
        <w:numPr>
          <w:ilvl w:val="0"/>
          <w:numId w:val="1003"/>
        </w:numPr>
        <w:pStyle w:val="Compact"/>
      </w:pPr>
      <w:r>
        <w:rPr>
          <w:bCs/>
          <w:b/>
        </w:rPr>
        <w:t xml:space="preserve">Localized Talent Development:</w:t>
      </w:r>
      <w:r>
        <w:t xml:space="preserve"> </w:t>
      </w:r>
      <w:r>
        <w:t xml:space="preserve">Expand the Riyadh Talent Academy to produce 500 certified performers annually by Q1 2024, focusing on regional dialects and heritage art forms.</w:t>
      </w:r>
    </w:p>
    <w:p>
      <w:pPr>
        <w:numPr>
          <w:ilvl w:val="0"/>
          <w:numId w:val="1003"/>
        </w:numPr>
        <w:pStyle w:val="Compact"/>
      </w:pPr>
      <w:r>
        <w:rPr>
          <w:bCs/>
          <w:b/>
        </w:rPr>
        <w:t xml:space="preserve">Digital Integration:</w:t>
      </w:r>
      <w:r>
        <w:t xml:space="preserve"> </w:t>
      </w:r>
      <w:r>
        <w:t xml:space="preserve">Launch "Actor Connect" mobile app for Riyadh clients with instant booking, cultural compliance checks, and real-time performance analytics.</w:t>
      </w:r>
    </w:p>
    <w:p>
      <w:pPr>
        <w:numPr>
          <w:ilvl w:val="0"/>
          <w:numId w:val="1003"/>
        </w:numPr>
        <w:pStyle w:val="Compact"/>
      </w:pPr>
      <w:r>
        <w:rPr>
          <w:bCs/>
          <w:b/>
        </w:rPr>
        <w:t xml:space="preserve">Vision 2030 Partnership:</w:t>
      </w:r>
      <w:r>
        <w:t xml:space="preserve"> </w:t>
      </w:r>
      <w:r>
        <w:t xml:space="preserve">Formalize collaboration with Saudi Entertainment Authority (SEA) to become the preferred talent provider for all government-sanctioned events in Riyadh.</w:t>
      </w:r>
    </w:p>
    <w:p>
      <w:pPr>
        <w:numPr>
          <w:ilvl w:val="0"/>
          <w:numId w:val="1003"/>
        </w:numPr>
        <w:pStyle w:val="Compact"/>
      </w:pPr>
      <w:r>
        <w:rPr>
          <w:bCs/>
          <w:b/>
        </w:rPr>
        <w:t xml:space="preserve">Multilingual Support:</w:t>
      </w:r>
      <w:r>
        <w:t xml:space="preserve"> </w:t>
      </w:r>
      <w:r>
        <w:t xml:space="preserve">Add Arabic/English performance tracking and client communication tools to streamline operations across Riyadh's international business community.</w:t>
      </w:r>
    </w:p>
    <w:bookmarkEnd w:id="28"/>
    <w:bookmarkStart w:id="29" w:name="vii.-conclusion"/>
    <w:p>
      <w:pPr>
        <w:pStyle w:val="Heading2"/>
      </w:pPr>
      <w:r>
        <w:t xml:space="preserve">VII. Conclusion</w:t>
      </w:r>
    </w:p>
    <w:p>
      <w:pPr>
        <w:pStyle w:val="FirstParagraph"/>
      </w:pPr>
      <w:r>
        <w:t xml:space="preserve">The "Actor" service has proven itself as a strategic asset for brands operating within Saudi Arabia's transformative market, particularly in Riyadh where entertainment investment is accelerating at an unprecedented pace. Our Q3 results demonstrate not only strong financial performance but also cultural competence and market intelligence that position us to capture significant share of Saudi Arabia's $12 billion entertainment sector. As Vision 2030 continues reshaping the national landscape, the "Actor" service remains uniquely positioned to deliver value through its Riyadh-centric approach, cultural alignment, and measurable impact on client success. We project 65% revenue growth for Riyadh in Q4 2023 and recommend doubling our talent acquisition budget to capitalize on this high-potential market.</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sales.risk@actor-services.sa | +966 11 XXX 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Service Performance in Saudi Arabia Riyadh</dc:title>
  <dc:creator/>
  <dc:language>en</dc:language>
  <cp:keywords/>
  <dcterms:created xsi:type="dcterms:W3CDTF">2026-07-21T13:04:08Z</dcterms:created>
  <dcterms:modified xsi:type="dcterms:W3CDTF">2026-07-21T13:04:08Z</dcterms:modified>
</cp:coreProperties>
</file>

<file path=docProps/custom.xml><?xml version="1.0" encoding="utf-8"?>
<Properties xmlns="http://schemas.openxmlformats.org/officeDocument/2006/custom-properties" xmlns:vt="http://schemas.openxmlformats.org/officeDocument/2006/docPropsVTypes"/>
</file>