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Actor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actor-sales-report"/>
    <w:p>
      <w:pPr>
        <w:pStyle w:val="Heading1"/>
      </w:pPr>
      <w:r>
        <w:t xml:space="preserve">ACTOR SALES REPORT</w:t>
      </w:r>
    </w:p>
    <w:bookmarkStart w:id="29" w:name="X0bec7c8fd27304f072aa8f4cff560322d22b463"/>
    <w:p>
      <w:pPr>
        <w:pStyle w:val="Heading2"/>
      </w:pPr>
      <w:r>
        <w:t xml:space="preserve">Q3 2023 Performance Analysis - Zurich, Switzerland</w:t>
      </w:r>
    </w:p>
    <w:p>
      <w:pPr>
        <w:pStyle w:val="FirstParagraph"/>
      </w:pPr>
      <w:r>
        <w:t xml:space="preserve">Prepared for Executive Leadership | Date: October 15, 2023 | Confidential</w:t>
      </w:r>
    </w:p>
    <w:p>
      <w:r>
        <w:pict>
          <v:rect style="width:0;height:1.5pt" o:hralign="center" o:hrstd="t" o:hr="t"/>
        </w:pict>
      </w:r>
    </w:p>
    <w:bookmarkStart w:id="20" w:name="executive-summary"/>
    <w:p>
      <w:pPr>
        <w:pStyle w:val="Heading3"/>
      </w:pPr>
      <w:r>
        <w:t xml:space="preserve">Executive Summary</w:t>
      </w:r>
    </w:p>
    <w:p>
      <w:pPr>
        <w:pStyle w:val="FirstParagraph"/>
      </w:pPr>
      <w:r>
        <w:t xml:space="preserve">The Q3 Sales Report for the Actor division in Switzerland Zurich demonstrates exceptional growth, achieving a 28.7% year-over-year increase in revenue and solidifying our position as the market leader for premium entertainment industry solutions. This performance directly supports our global strategy to dominate high-value markets where cultural expertise meets technological innovation. The Zurich office has proven instrumental in bridging Swiss precision with international actor management excellence, capturing 32% market share in the German-speaking region.</w:t>
      </w:r>
    </w:p>
    <w:bookmarkEnd w:id="20"/>
    <w:bookmarkStart w:id="21" w:name="key-performance-indicators-q3-2023"/>
    <w:p>
      <w:pPr>
        <w:pStyle w:val="Heading3"/>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(CHF)</w:t>
            </w:r>
          </w:p>
        </w:tc>
        <w:tc>
          <w:tcPr/>
          <w:p>
            <w:pPr>
              <w:pStyle w:val="Compact"/>
              <w:jc w:val="left"/>
            </w:pPr>
            <w:r>
              <w:t xml:space="preserve">1,842,500</w:t>
            </w:r>
          </w:p>
        </w:tc>
        <w:tc>
          <w:tcPr/>
          <w:p>
            <w:pPr>
              <w:pStyle w:val="Compact"/>
              <w:jc w:val="left"/>
            </w:pPr>
            <w:r>
              <w:t xml:space="preserve">1,431,200</w:t>
            </w:r>
          </w:p>
        </w:tc>
        <w:tc>
          <w:tcPr/>
          <w:p>
            <w:pPr>
              <w:pStyle w:val="Compact"/>
              <w:jc w:val="left"/>
            </w:pPr>
            <w:r>
              <w:t xml:space="preserve">+28.7%</w:t>
            </w:r>
          </w:p>
        </w:tc>
      </w:tr>
      <w:tr>
        <w:tc>
          <w:tcPr/>
          <w:p>
            <w:pPr>
              <w:pStyle w:val="Compact"/>
              <w:jc w:val="left"/>
            </w:pPr>
            <w:r>
              <w:t xml:space="preserve">New Actor Contracts Signed</w:t>
            </w:r>
          </w:p>
        </w:tc>
        <w:tc>
          <w:tcPr/>
          <w:p>
            <w:pPr>
              <w:pStyle w:val="Compact"/>
              <w:jc w:val="left"/>
            </w:pPr>
            <w:r>
              <w:t xml:space="preserve">47</w:t>
            </w:r>
          </w:p>
        </w:tc>
        <w:tc>
          <w:tcPr/>
          <w:p>
            <w:pPr>
              <w:pStyle w:val="Compact"/>
              <w:jc w:val="left"/>
            </w:pPr>
            <w:r>
              <w:t xml:space="preserve">32</w:t>
            </w:r>
          </w:p>
        </w:tc>
        <w:tc>
          <w:tcPr/>
          <w:p>
            <w:pPr>
              <w:pStyle w:val="Compact"/>
              <w:jc w:val="left"/>
            </w:pPr>
            <w:r>
              <w:t xml:space="preserve">+46.9%</w:t>
            </w:r>
          </w:p>
        </w:tc>
      </w:tr>
      <w:tr>
        <w:tc>
          <w:tcPr/>
          <w:p>
            <w:pPr>
              <w:pStyle w:val="Compact"/>
              <w:jc w:val="left"/>
            </w:pPr>
            <w:r>
              <w:t xml:space="preserve">Client Retention Rate</w:t>
            </w:r>
          </w:p>
        </w:tc>
        <w:tc>
          <w:tcPr/>
          <w:p>
            <w:pPr>
              <w:pStyle w:val="Compact"/>
              <w:jc w:val="left"/>
            </w:pPr>
            <w:r>
              <w:t xml:space="preserve">92.3%</w:t>
            </w:r>
          </w:p>
        </w:tc>
        <w:tc>
          <w:tcPr/>
          <w:p>
            <w:pPr>
              <w:pStyle w:val="Compact"/>
              <w:jc w:val="left"/>
            </w:pPr>
            <w:r>
              <w:t xml:space="preserve">88.7%</w:t>
            </w:r>
          </w:p>
        </w:tc>
        <w:tc>
          <w:tcPr/>
          <w:p>
            <w:pPr>
              <w:pStyle w:val="Compact"/>
              <w:jc w:val="left"/>
            </w:pPr>
            <w:r>
              <w:t xml:space="preserve">+3.6 pts</w:t>
            </w:r>
          </w:p>
        </w:tc>
      </w:tr>
      <w:tr>
        <w:tc>
          <w:tcPr/>
          <w:p>
            <w:pPr>
              <w:pStyle w:val="Compact"/>
              <w:jc w:val="left"/>
            </w:pPr>
            <w:r>
              <w:t xml:space="preserve">Average Contract Value (CHF)</w:t>
            </w:r>
          </w:p>
        </w:tc>
        <w:tc>
          <w:tcPr/>
          <w:p>
            <w:pPr>
              <w:pStyle w:val="Compact"/>
              <w:jc w:val="left"/>
            </w:pPr>
            <w:r>
              <w:t xml:space="preserve">39,202</w:t>
            </w:r>
          </w:p>
        </w:tc>
        <w:tc>
          <w:tcPr/>
          <w:p>
            <w:pPr>
              <w:pStyle w:val="Compact"/>
              <w:jc w:val="left"/>
            </w:pPr>
            <w:r>
              <w:t xml:space="preserve">35,780</w:t>
            </w:r>
          </w:p>
        </w:tc>
        <w:tc>
          <w:tcPr/>
          <w:p>
            <w:pPr>
              <w:pStyle w:val="Compact"/>
              <w:jc w:val="left"/>
            </w:pPr>
            <w:r>
              <w:t xml:space="preserve">+9.6%</w:t>
            </w:r>
          </w:p>
        </w:tc>
      </w:tr>
      <w:tr>
        <w:tc>
          <w:tcPr/>
          <w:p>
            <w:pPr>
              <w:pStyle w:val="Compact"/>
              <w:jc w:val="left"/>
            </w:pPr>
            <w:r>
              <w:rPr>
                <w:bCs/>
                <w:b/>
              </w:rPr>
              <w:t xml:space="preserve">Total Market Share (Zurich)</w:t>
            </w:r>
          </w:p>
        </w:tc>
        <w:tc>
          <w:tcPr/>
          <w:p>
            <w:pPr>
              <w:pStyle w:val="Compact"/>
              <w:jc w:val="left"/>
            </w:pPr>
            <w:r>
              <w:rPr>
                <w:bCs/>
                <w:b/>
              </w:rPr>
              <w:t xml:space="preserve">32.1%</w:t>
            </w:r>
          </w:p>
        </w:tc>
        <w:tc>
          <w:tcPr/>
          <w:p>
            <w:pPr>
              <w:pStyle w:val="Compact"/>
              <w:jc w:val="left"/>
            </w:pPr>
            <w:r>
              <w:rPr>
                <w:bCs/>
                <w:b/>
              </w:rPr>
              <w:t xml:space="preserve">25.6%</w:t>
            </w:r>
          </w:p>
        </w:tc>
        <w:tc>
          <w:tcPr/>
          <w:p>
            <w:pPr>
              <w:pStyle w:val="Compact"/>
              <w:jc w:val="left"/>
            </w:pPr>
            <w:r>
              <w:rPr>
                <w:bCs/>
                <w:b/>
              </w:rPr>
              <w:t xml:space="preserve">+6.5 pts</w:t>
            </w:r>
          </w:p>
        </w:tc>
      </w:tr>
    </w:tbl>
    <w:bookmarkEnd w:id="21"/>
    <w:bookmarkStart w:id="22" w:name="X4a82437553867aef955a56fcea69d46049d1657"/>
    <w:p>
      <w:pPr>
        <w:pStyle w:val="Heading3"/>
      </w:pPr>
      <w:r>
        <w:t xml:space="preserve">Zurich Market Analysis: The Actor Advantage</w:t>
      </w:r>
    </w:p>
    <w:p>
      <w:pPr>
        <w:pStyle w:val="FirstParagraph"/>
      </w:pPr>
      <w:r>
        <w:t xml:space="preserve">The success of our Switzerland Zurich operations stems from a unique value proposition centered around the "Actor" brand. Unlike generic talent agencies, our solution integrates Swiss precision in data analytics with global actor management best practices. In Zurich's competitive market, we've successfully differentiated through three pillars:</w:t>
      </w:r>
    </w:p>
    <w:p>
      <w:pPr>
        <w:numPr>
          <w:ilvl w:val="0"/>
          <w:numId w:val="1001"/>
        </w:numPr>
        <w:pStyle w:val="Compact"/>
      </w:pPr>
      <w:r>
        <w:rPr>
          <w:bCs/>
          <w:b/>
        </w:rPr>
        <w:t xml:space="preserve">Localization Expertise</w:t>
      </w:r>
      <w:r>
        <w:t xml:space="preserve">: Our Zurich team comprises native German-speaking talent managers who understand Swiss media regulations, tax structures, and cultural nuances that directly impact actor contracts.</w:t>
      </w:r>
    </w:p>
    <w:p>
      <w:pPr>
        <w:numPr>
          <w:ilvl w:val="0"/>
          <w:numId w:val="1001"/>
        </w:numPr>
        <w:pStyle w:val="Compact"/>
      </w:pPr>
      <w:r>
        <w:rPr>
          <w:bCs/>
          <w:b/>
        </w:rPr>
        <w:t xml:space="preserve">Technology Integration</w:t>
      </w:r>
      <w:r>
        <w:t xml:space="preserve">: The proprietary "ActorFlow" platform provides real-time analytics on market demand for specific actor profiles, allowing us to match talent with opportunities 37% faster than competitors in Switzerland Zurich.</w:t>
      </w:r>
    </w:p>
    <w:p>
      <w:pPr>
        <w:numPr>
          <w:ilvl w:val="0"/>
          <w:numId w:val="1001"/>
        </w:numPr>
        <w:pStyle w:val="Compact"/>
      </w:pPr>
      <w:r>
        <w:rPr>
          <w:bCs/>
          <w:b/>
        </w:rPr>
        <w:t xml:space="preserve">Strategic Partnerships</w:t>
      </w:r>
      <w:r>
        <w:t xml:space="preserve">: Collaborations with major Swiss media entities like SRF and ZDF have generated 15+ high-value projects exclusively through our Actor division this quarter.</w:t>
      </w:r>
    </w:p>
    <w:bookmarkEnd w:id="22"/>
    <w:bookmarkStart w:id="25" w:name="X61bf119b5aeb6234cc1b678e94bc61ac94f630b"/>
    <w:p>
      <w:pPr>
        <w:pStyle w:val="Heading3"/>
      </w:pPr>
      <w:r>
        <w:t xml:space="preserve">Revenue Driver Deep Dive: Actor Service Portfolio</w:t>
      </w:r>
    </w:p>
    <w:p>
      <w:pPr>
        <w:pStyle w:val="FirstParagraph"/>
      </w:pPr>
      <w:r>
        <w:t xml:space="preserve">Our revenue streams in Switzerland Zurich are predominantly driven by two specialized services under the Actor umbrella:</w:t>
      </w:r>
    </w:p>
    <w:bookmarkStart w:id="23" w:name="actor-premium-management-62-of-revenue"/>
    <w:p>
      <w:pPr>
        <w:pStyle w:val="Heading4"/>
      </w:pPr>
      <w:r>
        <w:t xml:space="preserve">Actor Premium Management (62% of Revenue)</w:t>
      </w:r>
    </w:p>
    <w:p>
      <w:pPr>
        <w:pStyle w:val="FirstParagraph"/>
      </w:pPr>
      <w:r>
        <w:t xml:space="preserve">This high-touch service for A-list international actors has seen explosive growth in Zurich due to Switzerland's status as a global hub for film production. The Q3 results show a 41% increase in premium contracts, including notable deals with three major Hollywood stars securing Swiss-based production projects. Key differentiators include our Zurich office's proximity to the Alps' film locations and seamless integration with local tax advisors.</w:t>
      </w:r>
    </w:p>
    <w:bookmarkEnd w:id="23"/>
    <w:bookmarkStart w:id="24" w:name="actor-market-intelligence-38-of-revenue"/>
    <w:p>
      <w:pPr>
        <w:pStyle w:val="Heading4"/>
      </w:pPr>
      <w:r>
        <w:t xml:space="preserve">Actor Market Intelligence (38% of Revenue)</w:t>
      </w:r>
    </w:p>
    <w:p>
      <w:pPr>
        <w:pStyle w:val="FirstParagraph"/>
      </w:pPr>
      <w:r>
        <w:t xml:space="preserve">Our data-driven service providing market analytics for talent agencies has become indispensable in Switzerland Zurich. This quarter, we delivered customized reports on Swiss media trends to 23 agencies, driving a 22% revenue spike. The platform's predictive capabilities identified emerging opportunities in Swiss streaming services (e.g., Cinemax), resulting in a 15% increase in placement fees for our actor clients.</w:t>
      </w:r>
    </w:p>
    <w:bookmarkEnd w:id="24"/>
    <w:bookmarkEnd w:id="25"/>
    <w:bookmarkStart w:id="26" w:name="challenges-strategic-response"/>
    <w:p>
      <w:pPr>
        <w:pStyle w:val="Heading3"/>
      </w:pPr>
      <w:r>
        <w:t xml:space="preserve">Challenges &amp; Strategic Response</w:t>
      </w:r>
    </w:p>
    <w:p>
      <w:pPr>
        <w:pStyle w:val="FirstParagraph"/>
      </w:pPr>
      <w:r>
        <w:t xml:space="preserve">While results are strong, two challenges required immediate action:</w:t>
      </w:r>
    </w:p>
    <w:p>
      <w:pPr>
        <w:numPr>
          <w:ilvl w:val="0"/>
          <w:numId w:val="1002"/>
        </w:numPr>
        <w:pStyle w:val="Compact"/>
      </w:pPr>
      <w:r>
        <w:rPr>
          <w:bCs/>
          <w:b/>
        </w:rPr>
        <w:t xml:space="preserve">Regulatory Shifts</w:t>
      </w:r>
      <w:r>
        <w:t xml:space="preserve">: New Swiss data privacy regulations (DSG) initially delayed contract processing. Our Zurich legal team developed a compliance framework within 3 weeks, resulting in zero client losses and positioning us as an industry leader in regulatory adherence.</w:t>
      </w:r>
    </w:p>
    <w:p>
      <w:pPr>
        <w:numPr>
          <w:ilvl w:val="0"/>
          <w:numId w:val="1002"/>
        </w:numPr>
        <w:pStyle w:val="Compact"/>
      </w:pPr>
      <w:r>
        <w:t xml:space="preserve">Competition Pressure: Local agencies attempted to undercut our pricing. We countered by introducing the "Actor Zurich Advantage" package—combining competitive rates with our unique market intelligence—resulting in 12 new contracts during the price war.</w:t>
      </w:r>
    </w:p>
    <w:bookmarkEnd w:id="26"/>
    <w:bookmarkStart w:id="27" w:name="Xb0e8e8e083585443faf046b5a65f4fceaeaaf37"/>
    <w:p>
      <w:pPr>
        <w:pStyle w:val="Heading3"/>
      </w:pPr>
      <w:r>
        <w:t xml:space="preserve">Future Outlook: Actor Expansion Strategy in Switzerland Zurich</w:t>
      </w:r>
    </w:p>
    <w:p>
      <w:pPr>
        <w:pStyle w:val="FirstParagraph"/>
      </w:pPr>
      <w:r>
        <w:t xml:space="preserve">Based on Q3 performance, we're accelerating our investment in Switzerland Zurich with three key initiatives:</w:t>
      </w:r>
    </w:p>
    <w:p>
      <w:pPr>
        <w:numPr>
          <w:ilvl w:val="0"/>
          <w:numId w:val="1003"/>
        </w:numPr>
        <w:pStyle w:val="Compact"/>
      </w:pPr>
      <w:r>
        <w:rPr>
          <w:bCs/>
          <w:b/>
        </w:rPr>
        <w:t xml:space="preserve">Actor Talent Hub Expansion</w:t>
      </w:r>
      <w:r>
        <w:t xml:space="preserve">: Opening a dedicated Zurich facility by Q1 2024 to accommodate the growing roster of actors (now at 147 active clients) with on-site casting rooms and media training centers.</w:t>
      </w:r>
    </w:p>
    <w:p>
      <w:pPr>
        <w:numPr>
          <w:ilvl w:val="0"/>
          <w:numId w:val="1003"/>
        </w:numPr>
        <w:pStyle w:val="Compact"/>
      </w:pPr>
      <w:r>
        <w:rPr>
          <w:bCs/>
          <w:b/>
        </w:rPr>
        <w:t xml:space="preserve">Swiss Market Intelligence Unit</w:t>
      </w:r>
      <w:r>
        <w:t xml:space="preserve">: Creating a specialized team focused exclusively on Swiss film, TV, and streaming trends to provide hyper-local insights for our actor clients.</w:t>
      </w:r>
    </w:p>
    <w:p>
      <w:pPr>
        <w:numPr>
          <w:ilvl w:val="0"/>
          <w:numId w:val="1003"/>
        </w:numPr>
        <w:pStyle w:val="Compact"/>
      </w:pPr>
      <w:r>
        <w:rPr>
          <w:bCs/>
          <w:b/>
        </w:rPr>
        <w:t xml:space="preserve">Corporate Partnerships Program</w:t>
      </w:r>
      <w:r>
        <w:t xml:space="preserve">: Targeting 5 new partnerships with Zurich-based media production companies in H2 2023, building on our successful SRF collaboration.</w:t>
      </w:r>
    </w:p>
    <w:p>
      <w:pPr>
        <w:pStyle w:val="FirstParagraph"/>
      </w:pPr>
      <w:r>
        <w:t xml:space="preserve">The Switzerland Zurich market has proven to be a strategic cornerstone for the global Actor division. Our Q3 results confirm that when we combine Swiss operational excellence with our unique actor-centric solutions, remarkable growth becomes inevitable. We project Q4 2023 revenue will exceed CHF 2.1 million, marking a 35% YoY increase and further cementing our leadership in this premium market segment.</w:t>
      </w:r>
    </w:p>
    <w:p>
      <w:pPr>
        <w:pStyle w:val="BodyText"/>
      </w:pPr>
      <w:r>
        <w:rPr>
          <w:bCs/>
          <w:b/>
        </w:rPr>
        <w:t xml:space="preserve">Strategic Imperative:</w:t>
      </w:r>
      <w:r>
        <w:t xml:space="preserve"> </w:t>
      </w:r>
      <w:r>
        <w:t xml:space="preserve">The Actor division in Switzerland Zurich is no longer just a regional office—it's the blueprint for our global expansion. Every decision must now reflect how it supports replicating this success across key European markets.</w:t>
      </w:r>
    </w:p>
    <w:bookmarkEnd w:id="27"/>
    <w:bookmarkStart w:id="28" w:name="conclusion"/>
    <w:p>
      <w:pPr>
        <w:pStyle w:val="Heading3"/>
      </w:pPr>
      <w:r>
        <w:t xml:space="preserve">Conclusion</w:t>
      </w:r>
    </w:p>
    <w:p>
      <w:pPr>
        <w:pStyle w:val="FirstParagraph"/>
      </w:pPr>
      <w:r>
        <w:t xml:space="preserve">The Q3 Sales Report for the Actor division in Switzerland Zurich underscores a fundamental truth: When we deliver market-specific expertise through our unique "Actor" framework, exceptional results follow. This quarter's performance demonstrates that Zurich isn't merely a market for us—it's where the global actor management model is being perfected. As we enter 2024, every initiative will center on scaling this Switzerland Zurich success story while maintaining the Swiss precision that makes our Actor brand indispensable to talent worldwide.</w:t>
      </w:r>
    </w:p>
    <w:p>
      <w:pPr>
        <w:pStyle w:val="BodyText"/>
      </w:pPr>
      <w:r>
        <w:t xml:space="preserve">Prepared by:</w:t>
      </w:r>
      <w:r>
        <w:br/>
      </w:r>
      <w:r>
        <w:t xml:space="preserve">Global Sales Operations, Actor Division</w:t>
      </w:r>
      <w:r>
        <w:br/>
      </w:r>
      <w:r>
        <w:t xml:space="preserve">Zurich Office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Actor Sales Report - Q3 2023</dc:title>
  <dc:creator/>
  <dc:language>en</dc:language>
  <cp:keywords/>
  <dcterms:created xsi:type="dcterms:W3CDTF">2025-12-11T17:23:34Z</dcterms:created>
  <dcterms:modified xsi:type="dcterms:W3CDTF">2025-12-11T17:23:34Z</dcterms:modified>
</cp:coreProperties>
</file>

<file path=docProps/custom.xml><?xml version="1.0" encoding="utf-8"?>
<Properties xmlns="http://schemas.openxmlformats.org/officeDocument/2006/custom-properties" xmlns:vt="http://schemas.openxmlformats.org/officeDocument/2006/docPropsVTypes"/>
</file>