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Tashkent,</w:t>
      </w:r>
      <w:r>
        <w:t xml:space="preserve"> </w:t>
      </w:r>
      <w:r>
        <w:t xml:space="preserve">Uzbekistan</w:t>
      </w:r>
      <w:r>
        <w:t xml:space="preserve"> </w:t>
      </w:r>
      <w:r>
        <w:t xml:space="preserve">Market</w:t>
      </w:r>
      <w:r>
        <w:t xml:space="preserve"> </w:t>
      </w:r>
      <w:r>
        <w:t xml:space="preserve">Analysis</w:t>
      </w:r>
    </w:p>
    <w:bookmarkStart w:id="28" w:name="sales-report-for-actor-product-line"/>
    <w:p>
      <w:pPr>
        <w:pStyle w:val="Heading1"/>
      </w:pPr>
      <w:r>
        <w:t xml:space="preserve">Sales Report for Actor Product Line</w:t>
      </w:r>
    </w:p>
    <w:bookmarkStart w:id="27" w:name="Xb66ed0526b11fde167a8b557742e5f748b7dab8"/>
    <w:p>
      <w:pPr>
        <w:pStyle w:val="Heading2"/>
      </w:pPr>
      <w:r>
        <w:t xml:space="preserve">Tashkent, Uzbekistan Market Performance (Q1 2024)</w:t>
      </w:r>
    </w:p>
    <w:bookmarkStart w:id="20" w:name="executive-summary"/>
    <w:p>
      <w:pPr>
        <w:pStyle w:val="Heading3"/>
      </w:pPr>
      <w:r>
        <w:t xml:space="preserve">Executive Summary</w:t>
      </w:r>
    </w:p>
    <w:p>
      <w:pPr>
        <w:pStyle w:val="FirstParagraph"/>
      </w:pPr>
      <w:r>
        <w:t xml:space="preserve">The Actor product line has achieved remarkable success in the Tashkent market during Q1 2024, demonstrating exceptional growth potential within Uzbekistan's dynamic consumer landscape. This report details our strategic entry and market penetration efforts for the Actor brand, which has rapidly become a category leader in digital entertainment solutions. With sales exceeding projections by 37% and securing key partnerships across Tashkent's retail network, the Actor initiative has established a strong foundation for nationwide expansion.</w:t>
      </w:r>
    </w:p>
    <w:bookmarkEnd w:id="20"/>
    <w:bookmarkStart w:id="21" w:name="market-context-in-tashkent-uzbekistan"/>
    <w:p>
      <w:pPr>
        <w:pStyle w:val="Heading3"/>
      </w:pPr>
      <w:r>
        <w:t xml:space="preserve">Market Context in Tashkent, Uzbekistan</w:t>
      </w:r>
    </w:p>
    <w:p>
      <w:pPr>
        <w:pStyle w:val="FirstParagraph"/>
      </w:pPr>
      <w:r>
        <w:t xml:space="preserve">Tashkent represents the commercial heart of Uzbekistan, home to 5.4 million residents and hosting 78% of the nation's Fortune 500 companies. The city's digital transformation initiative has created unprecedented demand for innovative entertainment technology solutions. The Actor product line—designed as an all-in-one streaming platform with AI-driven content personalization—perfectly aligns with Uzbekistan's National Digital Strategy 2025, which prioritizes "Digital Content Accessibility for All Citizens." Our market research confirms that 68% of Tashkent households now seek localized entertainment options, making the Actor launch strategically timely.</w:t>
      </w:r>
    </w:p>
    <w:bookmarkEnd w:id="21"/>
    <w:bookmarkStart w:id="22" w:name="X21e9497f9f8f5c4e33b21e08a579cf171b2a289"/>
    <w:p>
      <w:pPr>
        <w:pStyle w:val="Heading3"/>
      </w:pPr>
      <w:r>
        <w:t xml:space="preserve">Sales Performance Metrics (Tashkent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2024</w:t>
            </w:r>
          </w:p>
        </w:tc>
        <w:tc>
          <w:tcPr/>
          <w:p>
            <w:pPr>
              <w:pStyle w:val="Compact"/>
              <w:jc w:val="left"/>
            </w:pPr>
            <w:r>
              <w:t xml:space="preserve">Q4 2023</w:t>
            </w:r>
          </w:p>
        </w:tc>
        <w:tc>
          <w:tcPr/>
          <w:p>
            <w:pPr>
              <w:pStyle w:val="Compact"/>
              <w:jc w:val="left"/>
            </w:pPr>
            <w:r>
              <w:t xml:space="preserve">Growth (%)</w:t>
            </w:r>
          </w:p>
        </w:tc>
      </w:tr>
      <w:tr>
        <w:tc>
          <w:tcPr/>
          <w:p>
            <w:pPr>
              <w:pStyle w:val="Compact"/>
              <w:jc w:val="left"/>
            </w:pPr>
            <w:r>
              <w:t xml:space="preserve">Units Sold</w:t>
            </w:r>
          </w:p>
        </w:tc>
        <w:tc>
          <w:tcPr/>
          <w:p>
            <w:pPr>
              <w:pStyle w:val="Compact"/>
              <w:jc w:val="left"/>
            </w:pPr>
            <w:r>
              <w:t xml:space="preserve">14,850</w:t>
            </w:r>
          </w:p>
        </w:tc>
        <w:tc>
          <w:tcPr/>
          <w:p>
            <w:pPr>
              <w:pStyle w:val="Compact"/>
              <w:jc w:val="left"/>
            </w:pPr>
            <w:r>
              <w:t xml:space="preserve">10,250</w:t>
            </w:r>
          </w:p>
        </w:tc>
        <w:tc>
          <w:tcPr/>
          <w:p>
            <w:pPr>
              <w:pStyle w:val="Compact"/>
              <w:jc w:val="left"/>
            </w:pPr>
            <w:r>
              <w:t xml:space="preserve">+45%</w:t>
            </w:r>
          </w:p>
        </w:tc>
      </w:tr>
      <w:tr>
        <w:tc>
          <w:tcPr/>
          <w:p>
            <w:pPr>
              <w:pStyle w:val="Compact"/>
              <w:jc w:val="left"/>
            </w:pPr>
            <w:r>
              <w:t xml:space="preserve">Revenue (USD)</w:t>
            </w:r>
          </w:p>
        </w:tc>
        <w:tc>
          <w:tcPr/>
          <w:p>
            <w:pPr>
              <w:pStyle w:val="Compact"/>
              <w:jc w:val="left"/>
            </w:pPr>
            <w:r>
              <w:t xml:space="preserve">$628,300</w:t>
            </w:r>
          </w:p>
        </w:tc>
        <w:tc>
          <w:tcPr/>
          <w:p>
            <w:pPr>
              <w:pStyle w:val="Compact"/>
              <w:jc w:val="left"/>
            </w:pPr>
            <w:r>
              <w:t xml:space="preserve">$412,750</w:t>
            </w:r>
          </w:p>
        </w:tc>
        <w:tc>
          <w:tcPr/>
          <w:p>
            <w:pPr>
              <w:pStyle w:val="Compact"/>
              <w:jc w:val="left"/>
            </w:pPr>
            <w:r>
              <w:t xml:space="preserve">+52.2%</w:t>
            </w:r>
          </w:p>
        </w:tc>
      </w:tr>
      <w:tr>
        <w:tc>
          <w:tcPr/>
          <w:p>
            <w:pPr>
              <w:pStyle w:val="Compact"/>
              <w:jc w:val="left"/>
            </w:pPr>
            <w:r>
              <w:t xml:space="preserve">Customer Acquisition Cost (CAC)</w:t>
            </w:r>
          </w:p>
        </w:tc>
        <w:tc>
          <w:tcPr/>
          <w:p>
            <w:pPr>
              <w:pStyle w:val="Compact"/>
              <w:jc w:val="left"/>
            </w:pPr>
            <w:r>
              <w:t xml:space="preserve">$38.60</w:t>
            </w:r>
          </w:p>
        </w:tc>
        <w:tc>
          <w:tcPr/>
          <w:p>
            <w:pPr>
              <w:pStyle w:val="Compact"/>
              <w:jc w:val="left"/>
            </w:pPr>
            <w:r>
              <w:t xml:space="preserve">$47.20</w:t>
            </w:r>
          </w:p>
        </w:tc>
        <w:tc>
          <w:tcPr/>
          <w:p>
            <w:pPr>
              <w:pStyle w:val="Compact"/>
              <w:jc w:val="left"/>
            </w:pPr>
            <w:r>
              <w:t xml:space="preserve">-18.2%</w:t>
            </w:r>
          </w:p>
        </w:tc>
      </w:tr>
      <w:tr>
        <w:tc>
          <w:tcPr/>
          <w:p>
            <w:pPr>
              <w:pStyle w:val="Compact"/>
              <w:jc w:val="left"/>
            </w:pPr>
            <w:r>
              <w:t xml:space="preserve">Market Share (Digital Entertainment)</w:t>
            </w:r>
          </w:p>
        </w:tc>
        <w:tc>
          <w:tcPr/>
          <w:p>
            <w:pPr>
              <w:pStyle w:val="Compact"/>
              <w:jc w:val="left"/>
            </w:pPr>
            <w:r>
              <w:t xml:space="preserve">28.7%</w:t>
            </w:r>
          </w:p>
        </w:tc>
        <w:tc>
          <w:tcPr/>
          <w:p>
            <w:pPr>
              <w:pStyle w:val="Compact"/>
              <w:jc w:val="left"/>
            </w:pPr>
            <w:r>
              <w:t xml:space="preserve">14.3%</w:t>
            </w:r>
          </w:p>
        </w:tc>
        <w:tc>
          <w:tcPr/>
          <w:p>
            <w:pPr>
              <w:pStyle w:val="Compact"/>
              <w:jc w:val="left"/>
            </w:pPr>
            <w:r>
              <w:t xml:space="preserve">+14.4 pp</w:t>
            </w:r>
          </w:p>
        </w:tc>
      </w:tr>
    </w:tbl>
    <w:p>
      <w:pPr>
        <w:pStyle w:val="BodyText"/>
      </w:pPr>
      <w:r>
        <w:t xml:space="preserve">The Actor product line achieved 20% market penetration in Tashkent's premium streaming segment within just three months of launch. Strategic partnerships with local telecom giants (UzMobile and Beeline Uzbekistan) resulted in bundled service offerings that accelerated adoption. The platform's unique Uzbek-language content library—featuring over 12,000 hours of locally produced films and series—was the primary driver behind our 45% month-over-month growth in user acquisition.</w:t>
      </w:r>
    </w:p>
    <w:bookmarkEnd w:id="22"/>
    <w:bookmarkStart w:id="23" w:name="customer-insights-from-tashkent"/>
    <w:p>
      <w:pPr>
        <w:pStyle w:val="Heading3"/>
      </w:pPr>
      <w:r>
        <w:t xml:space="preserve">Customer Insights from Tashkent</w:t>
      </w:r>
    </w:p>
    <w:p>
      <w:pPr>
        <w:pStyle w:val="FirstParagraph"/>
      </w:pPr>
      <w:r>
        <w:t xml:space="preserve">Our on-ground market research in Tashkent revealed critical consumer preferences that shaped the Actor strategy:</w:t>
      </w:r>
    </w:p>
    <w:p>
      <w:pPr>
        <w:numPr>
          <w:ilvl w:val="0"/>
          <w:numId w:val="1001"/>
        </w:numPr>
        <w:pStyle w:val="Compact"/>
      </w:pPr>
      <w:r>
        <w:rPr>
          <w:bCs/>
          <w:b/>
        </w:rPr>
        <w:t xml:space="preserve">Cultural Resonance:</w:t>
      </w:r>
      <w:r>
        <w:t xml:space="preserve"> </w:t>
      </w:r>
      <w:r>
        <w:t xml:space="preserve">89% of customers cited "Uzbek-language content" as their primary reason for choosing Actor over global competitors.</w:t>
      </w:r>
    </w:p>
    <w:p>
      <w:pPr>
        <w:numPr>
          <w:ilvl w:val="0"/>
          <w:numId w:val="1001"/>
        </w:numPr>
        <w:pStyle w:val="Compact"/>
      </w:pPr>
      <w:r>
        <w:rPr>
          <w:bCs/>
          <w:b/>
        </w:rPr>
        <w:t xml:space="preserve">Price Sensitivity:</w:t>
      </w:r>
      <w:r>
        <w:t xml:space="preserve"> </w:t>
      </w:r>
      <w:r>
        <w:t xml:space="preserve">Tiered subscription plans (from $2.99 to $14.99/month) aligned perfectly with Tashkent's median household spending patterns.</w:t>
      </w:r>
    </w:p>
    <w:p>
      <w:pPr>
        <w:numPr>
          <w:ilvl w:val="0"/>
          <w:numId w:val="1001"/>
        </w:numPr>
        <w:pStyle w:val="Compact"/>
      </w:pPr>
      <w:r>
        <w:rPr>
          <w:bCs/>
          <w:b/>
        </w:rPr>
        <w:t xml:space="preserve">Trust Factor:</w:t>
      </w:r>
      <w:r>
        <w:t xml:space="preserve"> </w:t>
      </w:r>
      <w:r>
        <w:t xml:space="preserve">Local celebrity endorsements featuring renowned Uzbek actors like Rustam Ibragimov significantly boosted credibility during launch campaigns.</w:t>
      </w:r>
    </w:p>
    <w:p>
      <w:pPr>
        <w:pStyle w:val="FirstParagraph"/>
      </w:pPr>
      <w:r>
        <w:t xml:space="preserve">A particularly impactful initiative was the "Actor Community Day" event at Tashkent's Chilanzar Park, which attracted 12,000 attendees and generated viral social media engagement. This offline-to-online strategy proved crucial in building local trust for a foreign product brand.</w:t>
      </w:r>
    </w:p>
    <w:bookmarkEnd w:id="23"/>
    <w:bookmarkStart w:id="24" w:name="challenges-and-strategic-responses"/>
    <w:p>
      <w:pPr>
        <w:pStyle w:val="Heading3"/>
      </w:pPr>
      <w:r>
        <w:t xml:space="preserve">Challenges and Strategic Responses</w:t>
      </w:r>
    </w:p>
    <w:p>
      <w:pPr>
        <w:pStyle w:val="FirstParagraph"/>
      </w:pPr>
      <w:r>
        <w:t xml:space="preserve">Initial market entry faced three key challenges specific to Uzbekistan Tashkent:</w:t>
      </w:r>
    </w:p>
    <w:p>
      <w:pPr>
        <w:numPr>
          <w:ilvl w:val="0"/>
          <w:numId w:val="1002"/>
        </w:numPr>
        <w:pStyle w:val="Compact"/>
      </w:pPr>
      <w:r>
        <w:rPr>
          <w:bCs/>
          <w:b/>
        </w:rPr>
        <w:t xml:space="preserve">Regulatory Compliance:</w:t>
      </w:r>
      <w:r>
        <w:t xml:space="preserve"> </w:t>
      </w:r>
      <w:r>
        <w:t xml:space="preserve">Navigating Uzbekistan's new data localization laws required adapting Actor's cloud infrastructure. We established a local server in Tashkent's IT Park, reducing latency by 73% and ensuring GDPR-equivalent compliance.</w:t>
      </w:r>
    </w:p>
    <w:p>
      <w:pPr>
        <w:numPr>
          <w:ilvl w:val="0"/>
          <w:numId w:val="1002"/>
        </w:numPr>
        <w:pStyle w:val="Compact"/>
      </w:pPr>
      <w:r>
        <w:rPr>
          <w:bCs/>
          <w:b/>
        </w:rPr>
        <w:t xml:space="preserve">Digital Literacy:</w:t>
      </w:r>
      <w:r>
        <w:t xml:space="preserve"> </w:t>
      </w:r>
      <w:r>
        <w:t xml:space="preserve">Only 52% of Tashkent households had experience with streaming services. Our solution involved deploying "Actor Ambassadors" across neighborhood kiosks for hands-on device setup assistance.</w:t>
      </w:r>
    </w:p>
    <w:p>
      <w:pPr>
        <w:numPr>
          <w:ilvl w:val="0"/>
          <w:numId w:val="1002"/>
        </w:numPr>
        <w:pStyle w:val="Compact"/>
      </w:pPr>
      <w:r>
        <w:rPr>
          <w:bCs/>
          <w:b/>
        </w:rPr>
        <w:t xml:space="preserve">Competition:</w:t>
      </w:r>
      <w:r>
        <w:t xml:space="preserve"> </w:t>
      </w:r>
      <w:r>
        <w:t xml:space="preserve">Established local players (like OshTV) initially offered free content. Actor countered by introducing a limited-time "Uzbek Cinema Month" with exclusive premieres of national award-winning films.</w:t>
      </w:r>
    </w:p>
    <w:p>
      <w:pPr>
        <w:pStyle w:val="FirstParagraph"/>
      </w:pPr>
      <w:r>
        <w:t xml:space="preserve">These targeted responses transformed challenges into competitive advantages, turning potential obstacles into growth catalysts for the Actor brand.</w:t>
      </w:r>
    </w:p>
    <w:bookmarkEnd w:id="24"/>
    <w:bookmarkStart w:id="25" w:name="X246e562adfac21cbc36a60c8c12ccb7ba751e45"/>
    <w:p>
      <w:pPr>
        <w:pStyle w:val="Heading3"/>
      </w:pPr>
      <w:r>
        <w:t xml:space="preserve">Strategic Recommendations for Tashkent Expansion</w:t>
      </w:r>
    </w:p>
    <w:p>
      <w:pPr>
        <w:pStyle w:val="FirstParagraph"/>
      </w:pPr>
      <w:r>
        <w:t xml:space="preserve">Based on Q1 performance, we recommend three priority actions for Actor's continued growth in Uzbekistan:</w:t>
      </w:r>
    </w:p>
    <w:p>
      <w:pPr>
        <w:numPr>
          <w:ilvl w:val="0"/>
          <w:numId w:val="1003"/>
        </w:numPr>
        <w:pStyle w:val="Compact"/>
      </w:pPr>
      <w:r>
        <w:rPr>
          <w:bCs/>
          <w:b/>
        </w:rPr>
        <w:t xml:space="preserve">Content Localization Acceleration:</w:t>
      </w:r>
      <w:r>
        <w:t xml:space="preserve"> </w:t>
      </w:r>
      <w:r>
        <w:t xml:space="preserve">Allocate $350,000 to co-produce 4 new Tashkent-based drama series with local studios like "Uzfilm," targeting a 65% increase in exclusive Uzbek content by Q3.</w:t>
      </w:r>
    </w:p>
    <w:p>
      <w:pPr>
        <w:numPr>
          <w:ilvl w:val="0"/>
          <w:numId w:val="1003"/>
        </w:numPr>
        <w:pStyle w:val="Compact"/>
      </w:pPr>
      <w:r>
        <w:rPr>
          <w:bCs/>
          <w:b/>
        </w:rPr>
        <w:t xml:space="preserve">Infrastructure Partnership Expansion:</w:t>
      </w:r>
      <w:r>
        <w:t xml:space="preserve"> </w:t>
      </w:r>
      <w:r>
        <w:t xml:space="preserve">Formalize agreements with UzMobile to integrate Actor into all prepaid mobile bundles, projecting 200,000 new subscribers within six months.</w:t>
      </w:r>
    </w:p>
    <w:p>
      <w:pPr>
        <w:numPr>
          <w:ilvl w:val="0"/>
          <w:numId w:val="1003"/>
        </w:numPr>
        <w:pStyle w:val="Compact"/>
      </w:pPr>
      <w:r>
        <w:rPr>
          <w:bCs/>
          <w:b/>
        </w:rPr>
        <w:t xml:space="preserve">Community Building Initiative:</w:t>
      </w:r>
      <w:r>
        <w:t xml:space="preserve"> </w:t>
      </w:r>
      <w:r>
        <w:t xml:space="preserve">Launch the "Actor Tashkent Creators Fund" awarding $15,000 annually to Uzbek filmmakers using our platform, fostering creator loyalty and content ecosystem growth.</w:t>
      </w:r>
    </w:p>
    <w:p>
      <w:pPr>
        <w:pStyle w:val="FirstParagraph"/>
      </w:pPr>
      <w:r>
        <w:t xml:space="preserve">These initiatives align with Uzbekistan's 2023-2030 Digital Economy Development Plan and position Actor for market dominance beyond Tashkent.</w:t>
      </w:r>
    </w:p>
    <w:bookmarkEnd w:id="25"/>
    <w:bookmarkStart w:id="26" w:name="conclusion"/>
    <w:p>
      <w:pPr>
        <w:pStyle w:val="Heading3"/>
      </w:pPr>
      <w:r>
        <w:t xml:space="preserve">Conclusion</w:t>
      </w:r>
    </w:p>
    <w:p>
      <w:pPr>
        <w:pStyle w:val="FirstParagraph"/>
      </w:pPr>
      <w:r>
        <w:t xml:space="preserve">The Actor product line has successfully established itself as a cultural and commercial phenomenon in Tashkent, Uzbekistan. By deeply understanding local preferences—particularly the demand for authentic Uzbek content and culturally resonant engagement strategies—we've transformed a foreign brand into a homegrown favorite. Our Q1 results (37% above target) validate that Actor's approach to market entry is not merely effective but transformative for the regional digital entertainment landscape.</w:t>
      </w:r>
    </w:p>
    <w:p>
      <w:pPr>
        <w:pStyle w:val="BodyText"/>
      </w:pPr>
      <w:r>
        <w:t xml:space="preserve">As Uzbekistan positions itself as Central Asia's digital hub, Actor stands ready to lead this evolution. The Tashkent market has become our flagship success story, proving that when technology meets cultural intelligence, extraordinary growth follows. We project Actor will capture 40%+ market share in Uzbekistan's streaming sector by Q4 2024—making it the first foreign entertainment platform to achieve such dominance in a Central Asian market.</w:t>
      </w:r>
    </w:p>
    <w:bookmarkEnd w:id="26"/>
    <w:p>
      <w:pPr>
        <w:pStyle w:val="BodyText"/>
      </w:pPr>
      <w:r>
        <w:t xml:space="preserve">Prepared for Global Sales Leadership | Actor Entertainment Solutions | Tashkent Regional Office</w:t>
      </w:r>
    </w:p>
    <w:p>
      <w:pPr>
        <w:pStyle w:val="BodyText"/>
      </w:pPr>
      <w:r>
        <w:t xml:space="preserve">Date: April 15, 2024 | Confidential -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Tashkent, Uzbekistan Market Analysis</dc:title>
  <dc:creator/>
  <dc:language>en</dc:language>
  <cp:keywords/>
  <dcterms:created xsi:type="dcterms:W3CDTF">2026-07-23T12:54:37Z</dcterms:created>
  <dcterms:modified xsi:type="dcterms:W3CDTF">2026-07-23T12:54:37Z</dcterms:modified>
</cp:coreProperties>
</file>

<file path=docProps/custom.xml><?xml version="1.0" encoding="utf-8"?>
<Properties xmlns="http://schemas.openxmlformats.org/officeDocument/2006/custom-properties" xmlns:vt="http://schemas.openxmlformats.org/officeDocument/2006/docPropsVTypes"/>
</file>