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Aerospace</w:t>
      </w:r>
      <w:r>
        <w:t xml:space="preserve"> </w:t>
      </w:r>
      <w:r>
        <w:t xml:space="preserve">Engineering</w:t>
      </w:r>
      <w:r>
        <w:t xml:space="preserve"> </w:t>
      </w:r>
      <w:r>
        <w:t xml:space="preserve">Excellence</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30" w:name="Xbbd210502fa48bfca532b0f0a7106df204923e6"/>
    <w:p>
      <w:pPr>
        <w:pStyle w:val="Heading1"/>
      </w:pPr>
      <w:r>
        <w:t xml:space="preserve">Sales Report: Strategic Growth of Aerospace Engineering Solutions in Brazil Rio de Janeiro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Embraer &amp; Brazilian Aerospace Consortium</w:t>
      </w:r>
      <w:r>
        <w:br/>
      </w:r>
      <w:r>
        <w:rPr>
          <w:bCs/>
          <w:b/>
        </w:rPr>
        <w:t xml:space="preserve">Prepared By:</w:t>
      </w:r>
      <w:r>
        <w:t xml:space="preserve"> </w:t>
      </w:r>
      <w:r>
        <w:t xml:space="preserve">Global Sales Performance Unit – Aerospace Division</w:t>
      </w:r>
    </w:p>
    <w:bookmarkStart w:id="20" w:name="executive-summary"/>
    <w:p>
      <w:pPr>
        <w:pStyle w:val="Heading2"/>
      </w:pPr>
      <w:r>
        <w:t xml:space="preserve">1. Executive Summary</w:t>
      </w:r>
    </w:p>
    <w:p>
      <w:pPr>
        <w:pStyle w:val="FirstParagraph"/>
      </w:pPr>
      <w:r>
        <w:t xml:space="preserve">This comprehensive Sales Report details the performance of our engineering-driven aerospace solutions portfolio across Brazil Rio de Janeiro, one of South America's most dynamic aerospace hubs. Despite global economic headwinds, our team achieved a 38% year-over-year revenue growth in the region, driven by strategic partnerships with Brazilian defense contractors and commercial aviation firms headquartered in Rio. The success is directly attributable to the technical expertise of our certified Aerospace Engineers who bridge complex engineering requirements with client-specific sales strategies. This report underscores how engineering excellence has become the cornerstone of our competitive advantage in Brazil Rio de Janeiro's evolving market landscape.</w:t>
      </w:r>
    </w:p>
    <w:bookmarkEnd w:id="20"/>
    <w:bookmarkStart w:id="21" w:name="X0cce11ac6a2201ab27847d11dc7a865e426652d"/>
    <w:p>
      <w:pPr>
        <w:pStyle w:val="Heading2"/>
      </w:pPr>
      <w:r>
        <w:t xml:space="preserve">2. Market Analysis: Brazil Rio de Janeiro Context</w:t>
      </w:r>
    </w:p>
    <w:p>
      <w:pPr>
        <w:pStyle w:val="FirstParagraph"/>
      </w:pPr>
      <w:r>
        <w:t xml:space="preserve">Rio de Janeiro remains a pivotal aerospace ecosystem in Brazil, housing major facilities including the Brazilian Space Agency (INPE) operations, key Embraer engineering centers, and critical supply chain partners for global OEMs. The state contributes over 27% of Brazil's total aerospace output (IBGE 2023). Current market dynamics favor companies offering integrated engineering solutions rather than standalone components – a trend our Aerospace Engineers have strategically capitalized on.</w:t>
      </w:r>
    </w:p>
    <w:p>
      <w:pPr>
        <w:pStyle w:val="BodyText"/>
      </w:pPr>
      <w:r>
        <w:t xml:space="preserve">Our analysis reveals three critical growth vectors in Rio de Janeiro:</w:t>
      </w:r>
    </w:p>
    <w:p>
      <w:pPr>
        <w:numPr>
          <w:ilvl w:val="0"/>
          <w:numId w:val="1001"/>
        </w:numPr>
        <w:pStyle w:val="Compact"/>
      </w:pPr>
      <w:r>
        <w:rPr>
          <w:bCs/>
          <w:b/>
        </w:rPr>
        <w:t xml:space="preserve">Defense Modernization:</w:t>
      </w:r>
      <w:r>
        <w:t xml:space="preserve"> </w:t>
      </w:r>
      <w:r>
        <w:t xml:space="preserve">The Brazilian Ministry of Defense's $4.2B investment in indigenous aircraft programs (e.g., KC-390 expansion) creates demand for precision-engineered subsystems.</w:t>
      </w:r>
    </w:p>
    <w:p>
      <w:pPr>
        <w:numPr>
          <w:ilvl w:val="0"/>
          <w:numId w:val="1001"/>
        </w:numPr>
        <w:pStyle w:val="Compact"/>
      </w:pPr>
      <w:r>
        <w:rPr>
          <w:bCs/>
          <w:b/>
        </w:rPr>
        <w:t xml:space="preserve">Sustainable Aviation:</w:t>
      </w:r>
      <w:r>
        <w:t xml:space="preserve"> </w:t>
      </w:r>
      <w:r>
        <w:t xml:space="preserve">With Rio hosting the 2024 Global Sustainable Aviation Summit, local manufacturers prioritize engineers skilled in hydrogen fuel cell integration and lightweight composites.</w:t>
      </w:r>
    </w:p>
    <w:p>
      <w:pPr>
        <w:numPr>
          <w:ilvl w:val="0"/>
          <w:numId w:val="1001"/>
        </w:numPr>
        <w:pStyle w:val="Compact"/>
      </w:pPr>
      <w:r>
        <w:rPr>
          <w:bCs/>
          <w:b/>
        </w:rPr>
        <w:t xml:space="preserve">Space Economy Boom:</w:t>
      </w:r>
      <w:r>
        <w:t xml:space="preserve"> </w:t>
      </w:r>
      <w:r>
        <w:t xml:space="preserve">The Alcântara Launch Center's new commercial contracts require specialized aerospace engineering support for satellite integration services.</w:t>
      </w:r>
    </w:p>
    <w:bookmarkEnd w:id="21"/>
    <w:bookmarkStart w:id="25" w:name="X8c4ee8e8160971e58f7be8d9daf33f5a87a9e52"/>
    <w:p>
      <w:pPr>
        <w:pStyle w:val="Heading2"/>
      </w:pPr>
      <w:r>
        <w:t xml:space="preserve">3. Key Sales Initiatives Driven by Aerospace Engineers</w:t>
      </w:r>
    </w:p>
    <w:p>
      <w:pPr>
        <w:pStyle w:val="FirstParagraph"/>
      </w:pPr>
      <w:r>
        <w:t xml:space="preserve">The following initiatives, spearheaded by our field-based Aerospace Engineers in Rio de Janeiro, delivered exceptional results:</w:t>
      </w:r>
    </w:p>
    <w:bookmarkStart w:id="22" w:name="technical-sales-enablement-program-tsep"/>
    <w:p>
      <w:pPr>
        <w:pStyle w:val="Heading3"/>
      </w:pPr>
      <w:r>
        <w:t xml:space="preserve">3.1 Technical Sales Enablement Program (TSEP)</w:t>
      </w:r>
    </w:p>
    <w:p>
      <w:pPr>
        <w:pStyle w:val="FirstParagraph"/>
      </w:pPr>
      <w:r>
        <w:t xml:space="preserve">Deployed 12 senior Aerospace Engineers across Rio's key industrial zones (Santa Cruz, São Gonçalo) to conduct client engineering workshops. These sessions focused on translating technical specifications into commercial value propositions – for example, demonstrating how our corrosion-resistant titanium alloys reduce lifecycle costs by 22% for Embraer's E-Jet E2 program. This initiative directly contributed to $18.7M in new contracts within the first quarter.</w:t>
      </w:r>
    </w:p>
    <w:bookmarkEnd w:id="22"/>
    <w:bookmarkStart w:id="23" w:name="rio-space-consortium-partnership"/>
    <w:p>
      <w:pPr>
        <w:pStyle w:val="Heading3"/>
      </w:pPr>
      <w:r>
        <w:t xml:space="preserve">3.2 Rio Space Consortium Partnership</w:t>
      </w:r>
    </w:p>
    <w:p>
      <w:pPr>
        <w:pStyle w:val="FirstParagraph"/>
      </w:pPr>
      <w:r>
        <w:t xml:space="preserve">Our Aerospace Engineers facilitated a strategic alliance with five Rio-based space technology firms (including Aeromar and TETRA Sistemas). The team developed a joint solution for small satellite payload integration, leveraging their expertise in orbital mechanics and thermal management systems. This partnership generated $9.2M in recurring revenue through the state's newly established Space Technology Transfer Center.</w:t>
      </w:r>
    </w:p>
    <w:bookmarkEnd w:id="23"/>
    <w:bookmarkStart w:id="24" w:name="X6b885125d5468f2756eb36f19070835442a4782"/>
    <w:p>
      <w:pPr>
        <w:pStyle w:val="Heading3"/>
      </w:pPr>
      <w:r>
        <w:t xml:space="preserve">3.3 Sustainable Manufacturing Certification Drive</w:t>
      </w:r>
    </w:p>
    <w:p>
      <w:pPr>
        <w:pStyle w:val="FirstParagraph"/>
      </w:pPr>
      <w:r>
        <w:t xml:space="preserve">In response to Rio de Janeiro's new Green Industry Tax Incentives (Law 10,892/2021), our engineers created a carbon footprint assessment toolkit for local suppliers. This technical resource helped 47 companies achieve ISO 14064 certification, positioning us as the preferred engineering partner for sustainable aerospace manufacturing in the region. Result: 33% increase in supplier contracts with Rio-based Tier-1 manufacturers.</w:t>
      </w:r>
    </w:p>
    <w:bookmarkEnd w:id="24"/>
    <w:bookmarkEnd w:id="25"/>
    <w:bookmarkStart w:id="26" w:name="challenges-and-engineering-solutions"/>
    <w:p>
      <w:pPr>
        <w:pStyle w:val="Heading2"/>
      </w:pPr>
      <w:r>
        <w:t xml:space="preserve">4. Challenges and Engineering Solutions</w:t>
      </w:r>
    </w:p>
    <w:p>
      <w:pPr>
        <w:pStyle w:val="FirstParagraph"/>
      </w:pPr>
      <w:r>
        <w:t xml:space="preserve">The Brazilian market presents unique hurdles requiring specialized Aerospace Engineer intervention:</w:t>
      </w:r>
    </w:p>
    <w:p>
      <w:pPr>
        <w:numPr>
          <w:ilvl w:val="0"/>
          <w:numId w:val="1002"/>
        </w:numPr>
        <w:pStyle w:val="Compact"/>
      </w:pPr>
      <w:r>
        <w:rPr>
          <w:bCs/>
          <w:b/>
        </w:rPr>
        <w:t xml:space="preserve">Regulatory Complexity:</w:t>
      </w:r>
      <w:r>
        <w:t xml:space="preserve"> </w:t>
      </w:r>
      <w:r>
        <w:t xml:space="preserve">Brazilian Aeronautical Authority (ANAC) certification processes require deep technical knowledge. Our Rio-based engineers reduced approval timelines by 41% through proactive engagement with ANAC's technical committees.</w:t>
      </w:r>
    </w:p>
    <w:p>
      <w:pPr>
        <w:numPr>
          <w:ilvl w:val="0"/>
          <w:numId w:val="1002"/>
        </w:numPr>
        <w:pStyle w:val="Compact"/>
      </w:pPr>
      <w:r>
        <w:rPr>
          <w:bCs/>
          <w:b/>
        </w:rPr>
        <w:t xml:space="preserve">Skill Shortage:</w:t>
      </w:r>
      <w:r>
        <w:t xml:space="preserve"> </w:t>
      </w:r>
      <w:r>
        <w:t xml:space="preserve">Only 18% of Rio's aerospace workforce possesses advanced systems engineering certifications. We launched a partnership with COPPE (UFRJ) to co-develop an Aerospace Engineering Certification Program, training 217 local technicians in the past year.</w:t>
      </w:r>
    </w:p>
    <w:p>
      <w:pPr>
        <w:numPr>
          <w:ilvl w:val="0"/>
          <w:numId w:val="1002"/>
        </w:numPr>
        <w:pStyle w:val="Compact"/>
      </w:pPr>
      <w:r>
        <w:rPr>
          <w:bCs/>
          <w:b/>
        </w:rPr>
        <w:t xml:space="preserve">Supply Chain Fragmentation:</w:t>
      </w:r>
      <w:r>
        <w:t xml:space="preserve"> </w:t>
      </w:r>
      <w:r>
        <w:t xml:space="preserve">During the 2023 port strikes, engineers reconfigured our logistics network using predictive analytics – redirecting components through Salvador's industrial corridor while maintaining 98.7% on-time delivery in Rio de Janeiro.</w:t>
      </w:r>
    </w:p>
    <w:bookmarkEnd w:id="26"/>
    <w:bookmarkStart w:id="27" w:name="financial-performance-highlights"/>
    <w:p>
      <w:pPr>
        <w:pStyle w:val="Heading2"/>
      </w:pPr>
      <w:r>
        <w:t xml:space="preserve">5. Financial Performance Highlights</w:t>
      </w:r>
    </w:p>
    <w:p>
      <w:pPr>
        <w:pStyle w:val="FirstParagraph"/>
      </w:pPr>
      <w:r>
        <w:t xml:space="preserve">The Brazil Rio de Janeiro operation delivered exceptional results, exceeding all quarterly targets:</w:t>
      </w:r>
    </w:p>
    <w:p>
      <w:pPr>
        <w:pStyle w:val="BodyText"/>
      </w:pPr>
      <w:r>
        <w:t xml:space="preserve">Metrics</w:t>
      </w:r>
    </w:p>
    <w:p>
      <w:pPr>
        <w:pStyle w:val="BodyText"/>
      </w:pPr>
      <w:r>
        <w:t xml:space="preserve">Q3 2023 (Actual)</w:t>
      </w:r>
    </w:p>
    <w:p>
      <w:pPr>
        <w:pStyle w:val="BodyText"/>
      </w:pPr>
      <w:r>
        <w:t xml:space="preserve">Q3 2022 (Actual)</w:t>
      </w:r>
    </w:p>
    <w:p>
      <w:pPr>
        <w:pStyle w:val="BodyText"/>
      </w:pPr>
      <w:r>
        <w:t xml:space="preserve">% Change</w:t>
      </w:r>
    </w:p>
    <w:p>
      <w:pPr>
        <w:pStyle w:val="BodyText"/>
      </w:pPr>
      <w:r>
        <w:t xml:space="preserve">Total Sales Revenue</w:t>
      </w:r>
    </w:p>
    <w:p>
      <w:pPr>
        <w:pStyle w:val="BodyText"/>
      </w:pPr>
      <w:r>
        <w:t xml:space="preserve">$46.8M</w:t>
      </w:r>
    </w:p>
    <w:p>
      <w:pPr>
        <w:pStyle w:val="BodyText"/>
      </w:pPr>
      <w:r>
        <w:t xml:space="preserve">$34.1M</w:t>
      </w:r>
    </w:p>
    <w:p>
      <w:pPr>
        <w:pStyle w:val="BodyText"/>
      </w:pPr>
      <w:r>
        <w:t xml:space="preserve">+37.2%</w:t>
      </w:r>
    </w:p>
    <w:p>
      <w:pPr>
        <w:pStyle w:val="BodyText"/>
      </w:pPr>
      <w:r>
        <w:t xml:space="preserve">Engineering-Driven Contracts (vs Total)</w:t>
      </w:r>
    </w:p>
    <w:p>
      <w:pPr>
        <w:pStyle w:val="BodyText"/>
      </w:pPr>
      <w:r>
        <w:t xml:space="preserve">79%</w:t>
      </w:r>
    </w:p>
    <w:p>
      <w:pPr>
        <w:pStyle w:val="BodyText"/>
      </w:pPr>
      <w:r>
        <w:t xml:space="preserve">62%</w:t>
      </w:r>
    </w:p>
    <w:p>
      <w:pPr>
        <w:pStyle w:val="BodyText"/>
      </w:pPr>
      <w:r>
        <w:t xml:space="preserve">+17 pts</w:t>
      </w:r>
    </w:p>
    <w:p>
      <w:pPr>
        <w:pStyle w:val="BodyText"/>
      </w:pPr>
      <w:r>
        <w:t xml:space="preserve">New Client Acquisition from Rio-based Firms</w:t>
      </w:r>
    </w:p>
    <w:p>
      <w:pPr>
        <w:pStyle w:val="BodyText"/>
      </w:pPr>
      <w:r>
        <w:t xml:space="preserve">34</w:t>
      </w:r>
    </w:p>
    <w:p>
      <w:pPr>
        <w:pStyle w:val="BodyText"/>
      </w:pPr>
      <w:r>
        <w:t xml:space="preserve">19</w:t>
      </w:r>
    </w:p>
    <w:p>
      <w:pPr>
        <w:pStyle w:val="BodyText"/>
      </w:pPr>
      <w:r>
        <w:t xml:space="preserve">+78.9%</w:t>
      </w:r>
    </w:p>
    <w:p>
      <w:pPr>
        <w:pStyle w:val="BodyText"/>
      </w:pPr>
      <w:r>
        <w:t xml:space="preserve">Client Retention Rate (Engineering Support)</w:t>
      </w:r>
    </w:p>
    <w:p>
      <w:pPr>
        <w:pStyle w:val="BodyText"/>
      </w:pPr>
      <w:r>
        <w:t xml:space="preserve">96.3%</w:t>
      </w:r>
    </w:p>
    <w:p>
      <w:pPr>
        <w:pStyle w:val="BodyText"/>
      </w:pPr>
      <w:r>
        <w:t xml:space="preserve">87.5%</w:t>
      </w:r>
    </w:p>
    <w:p>
      <w:pPr>
        <w:pStyle w:val="BodyText"/>
      </w:pPr>
      <w:r>
        <w:t xml:space="preserve">+8.8 pts</w:t>
      </w:r>
    </w:p>
    <w:bookmarkEnd w:id="27"/>
    <w:bookmarkStart w:id="28" w:name="X2979ed9fc642d5ffab200de3335445bf52fb61b"/>
    <w:p>
      <w:pPr>
        <w:pStyle w:val="Heading2"/>
      </w:pPr>
      <w:r>
        <w:t xml:space="preserve">6. Strategic Recommendations for Brazil Rio de Janeiro</w:t>
      </w:r>
    </w:p>
    <w:p>
      <w:pPr>
        <w:pStyle w:val="FirstParagraph"/>
      </w:pPr>
      <w:r>
        <w:t xml:space="preserve">Based on our Sales Report analysis, we recommend the following priorities for the next fiscal year:</w:t>
      </w:r>
    </w:p>
    <w:p>
      <w:pPr>
        <w:numPr>
          <w:ilvl w:val="0"/>
          <w:numId w:val="1003"/>
        </w:numPr>
        <w:pStyle w:val="Compact"/>
      </w:pPr>
      <w:r>
        <w:rPr>
          <w:bCs/>
          <w:b/>
        </w:rPr>
        <w:t xml:space="preserve">Establish Rio Technical Center of Excellence:</w:t>
      </w:r>
      <w:r>
        <w:t xml:space="preserve"> </w:t>
      </w:r>
      <w:r>
        <w:t xml:space="preserve">Allocate $5.3M to create a dedicated engineering hub at Parque Tecnológico de São Gonçalo (RJ) focusing on sustainable aviation and space technologies – directly leveraging the state's strategic location near Alcântara Launch Complex.</w:t>
      </w:r>
    </w:p>
    <w:p>
      <w:pPr>
        <w:numPr>
          <w:ilvl w:val="0"/>
          <w:numId w:val="1003"/>
        </w:numPr>
        <w:pStyle w:val="Compact"/>
      </w:pPr>
      <w:r>
        <w:rPr>
          <w:bCs/>
          <w:b/>
        </w:rPr>
        <w:t xml:space="preserve">Expand University Partnerships:</w:t>
      </w:r>
      <w:r>
        <w:t xml:space="preserve"> </w:t>
      </w:r>
      <w:r>
        <w:t xml:space="preserve">Formalize agreements with UFRJ, PUC-Rio, and Federal Fluminense University to develop industry-specific aerospace engineering curricula addressing Rio's talent gap.</w:t>
      </w:r>
    </w:p>
    <w:p>
      <w:pPr>
        <w:numPr>
          <w:ilvl w:val="0"/>
          <w:numId w:val="1003"/>
        </w:numPr>
        <w:pStyle w:val="Compact"/>
      </w:pPr>
      <w:r>
        <w:rPr>
          <w:bCs/>
          <w:b/>
        </w:rPr>
        <w:t xml:space="preserve">Develop Rio-Specific Sales Playbook:</w:t>
      </w:r>
      <w:r>
        <w:t xml:space="preserve"> </w:t>
      </w:r>
      <w:r>
        <w:t xml:space="preserve">Create a region-specific framework for engineering-led sales cycles incorporating Brazilian procurement norms (e.g., Siscomex customs processes, BNDES financing structures).</w:t>
      </w:r>
    </w:p>
    <w:bookmarkEnd w:id="28"/>
    <w:bookmarkStart w:id="29" w:name="conclusion"/>
    <w:p>
      <w:pPr>
        <w:pStyle w:val="Heading2"/>
      </w:pPr>
      <w:r>
        <w:t xml:space="preserve">7. Conclusion</w:t>
      </w:r>
    </w:p>
    <w:p>
      <w:pPr>
        <w:pStyle w:val="FirstParagraph"/>
      </w:pPr>
      <w:r>
        <w:t xml:space="preserve">This Sales Report unequivocally demonstrates that in Brazil Rio de Janeiro's competitive aerospace environment, technical expertise is the primary sales differentiator. Our Aerospace Engineers have transformed from support roles into revenue-generating strategic assets, directly contributing to 79% of our region's total contracts. The engineering-driven approach – combining deep technical knowledge with localized market understanding – has positioned us as the preferred partner for Brazil's aerospace sector transformation.</w:t>
      </w:r>
    </w:p>
    <w:p>
      <w:pPr>
        <w:pStyle w:val="BodyText"/>
      </w:pPr>
      <w:r>
        <w:t xml:space="preserve">As Rio de Janeiro emerges as a global hub for sustainable space and aviation innovation, our continued investment in engineering talent will be the catalyst for sustained growth. The success metrics presented in this Sales Report confirm that when Aerospace Engineers lead sales strategy – particularly within Brazil Rio de Janeiro's unique economic and regulatory context – market leadership becomes achievable.</w:t>
      </w:r>
    </w:p>
    <w:p>
      <w:pPr>
        <w:pStyle w:val="BodyText"/>
      </w:pPr>
      <w:r>
        <w:rPr>
          <w:bCs/>
          <w:b/>
        </w:rPr>
        <w:t xml:space="preserve">Appendix:</w:t>
      </w:r>
      <w:r>
        <w:t xml:space="preserve"> </w:t>
      </w:r>
      <w:r>
        <w:t xml:space="preserve">Full client portfolio details, engineering certification statistics, and ANAC compliance documentation available upon request.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Aerospace Engineering Excellence in Brazil Rio de Janeiro</dc:title>
  <dc:creator/>
  <dc:language>en</dc:language>
  <cp:keywords/>
  <dcterms:created xsi:type="dcterms:W3CDTF">2026-07-23T15:17:38Z</dcterms:created>
  <dcterms:modified xsi:type="dcterms:W3CDTF">2026-07-23T15:17:38Z</dcterms:modified>
</cp:coreProperties>
</file>

<file path=docProps/custom.xml><?xml version="1.0" encoding="utf-8"?>
<Properties xmlns="http://schemas.openxmlformats.org/officeDocument/2006/custom-properties" xmlns:vt="http://schemas.openxmlformats.org/officeDocument/2006/docPropsVTypes"/>
</file>