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Beijing</w:t>
      </w:r>
    </w:p>
    <w:bookmarkStart w:id="28" w:name="X004d5ed65aa019ebd71a1f504a6387f446eb79c"/>
    <w:p>
      <w:pPr>
        <w:pStyle w:val="Heading1"/>
      </w:pPr>
      <w:r>
        <w:t xml:space="preserve">Comprehensive Sales Report: Aerospace Engineer Performance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Prepared By:</w:t>
      </w:r>
      <w:r>
        <w:t xml:space="preserve"> </w:t>
      </w:r>
      <w:r>
        <w:t xml:space="preserve">Beijing Regional Sales Analytics Department</w:t>
      </w:r>
    </w:p>
    <w:bookmarkStart w:id="20" w:name="i.-executive-summary"/>
    <w:p>
      <w:pPr>
        <w:pStyle w:val="Heading2"/>
      </w:pPr>
      <w:r>
        <w:t xml:space="preserve">I. Executive Summary</w:t>
      </w:r>
    </w:p>
    <w:p>
      <w:pPr>
        <w:pStyle w:val="FirstParagraph"/>
      </w:pPr>
      <w:r>
        <w:t xml:space="preserve">This Sales Report details the exceptional performance of our dedicated Aerospace Engineer in the strategic China Beijing market. As a pivotal member of our technical sales team, this professional has directly contributed to a 37% year-over-year revenue growth for aerospace solutions in Northern China. The report demonstrates how integrating advanced engineering expertise with market intelligence has established Beijing as a critical hub for our global aerospace business expansion. Our Aerospace Engineer's unique skill set—combining deep technical knowledge with sales acumen—has been instrumental in securing high-value contracts that position us as the preferred technology partner across China's rapidly evolving aerospace sector.</w:t>
      </w:r>
    </w:p>
    <w:bookmarkEnd w:id="20"/>
    <w:bookmarkStart w:id="21" w:name="X67074aed890d625a3edb594165798377180cb3c"/>
    <w:p>
      <w:pPr>
        <w:pStyle w:val="Heading2"/>
      </w:pPr>
      <w:r>
        <w:t xml:space="preserve">II. Market Context: Aerospace Landscape in China Beijing</w:t>
      </w:r>
    </w:p>
    <w:p>
      <w:pPr>
        <w:pStyle w:val="FirstParagraph"/>
      </w:pPr>
      <w:r>
        <w:t xml:space="preserve">Beijing serves as the epicenter of China's aerospace innovation ecosystem, housing 68% of the nation's major R&amp;D facilities including AVIC (Aviation Industry Corporation) and CASC (China Aerospace Science and Technology Corporation). The local government has allocated $42 billion for aerospace infrastructure through its 14th Five-Year Plan, creating unprecedented demand for cutting-edge engineering solutions. In this environment, our Beijing-based Aerospace Engineer operates at the intersection of technical excellence and commercial strategy—translating complex engineering capabilities into compelling sales propositions that align with China's national aerospace ambitions.</w:t>
      </w:r>
    </w:p>
    <w:bookmarkEnd w:id="21"/>
    <w:bookmarkStart w:id="22" w:name="X27b3e3bc7688a0c8d31ce033923f82147c11522"/>
    <w:p>
      <w:pPr>
        <w:pStyle w:val="Heading2"/>
      </w:pPr>
      <w:r>
        <w:t xml:space="preserve">III. Sales Performance Metrics: Quantifiable Impact</w:t>
      </w:r>
    </w:p>
    <w:p>
      <w:pPr>
        <w:pStyle w:val="FirstParagraph"/>
      </w:pPr>
      <w:r>
        <w:t xml:space="preserve">KPI Metric</w:t>
      </w:r>
    </w:p>
    <w:p>
      <w:pPr>
        <w:pStyle w:val="BodyText"/>
      </w:pPr>
      <w:r>
        <w:t xml:space="preserve">Current FY (Q3 2023)</w:t>
      </w:r>
    </w:p>
    <w:p>
      <w:pPr>
        <w:pStyle w:val="BodyText"/>
      </w:pPr>
      <w:r>
        <w:t xml:space="preserve">Previous FY</w:t>
      </w:r>
    </w:p>
    <w:p>
      <w:pPr>
        <w:pStyle w:val="BodyText"/>
      </w:pPr>
      <w:r>
        <w:t xml:space="preserve">YoY Change</w:t>
      </w:r>
    </w:p>
    <w:p>
      <w:pPr>
        <w:pStyle w:val="BodyText"/>
      </w:pPr>
      <w:r>
        <w:t xml:space="preserve">Total Revenue Generated</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 Rate</w:t>
      </w:r>
    </w:p>
    <w:p>
      <w:pPr>
        <w:pStyle w:val="BodyText"/>
      </w:pPr>
      <w:r>
        <w:t xml:space="preserve">22 clients</w:t>
      </w:r>
    </w:p>
    <w:p>
      <w:pPr>
        <w:pStyle w:val="BodyText"/>
      </w:pPr>
      <w:r>
        <w:t xml:space="preserve">14 clients</w:t>
      </w:r>
    </w:p>
    <w:p>
      <w:pPr>
        <w:pStyle w:val="BodyText"/>
      </w:pPr>
      <w:r>
        <w:t xml:space="preserve">Deal Size (Avg.)</w:t>
      </w:r>
    </w:p>
    <w:p>
      <w:pPr>
        <w:pStyle w:val="BodyText"/>
      </w:pPr>
      <w:r>
        <w:t xml:space="preserve">$850K</w:t>
      </w:r>
    </w:p>
    <w:p>
      <w:pPr>
        <w:pStyle w:val="BodyText"/>
      </w:pPr>
      <w:r>
        <w:t xml:space="preserve">$620K</w:t>
      </w:r>
    </w:p>
    <w:p>
      <w:pPr>
        <w:pStyle w:val="BodyText"/>
      </w:pPr>
      <w:r>
        <w:t xml:space="preserve">+37.1%</w:t>
      </w:r>
    </w:p>
    <w:p>
      <w:pPr>
        <w:pStyle w:val="BodyText"/>
      </w:pPr>
      <w:r>
        <w:t xml:space="preserve">Cross-Sell Ratio to Existing Clients</w:t>
      </w:r>
    </w:p>
    <w:p>
      <w:pPr>
        <w:pStyle w:val="BodyText"/>
      </w:pPr>
      <w:r>
        <w:t xml:space="preserve">4.3x</w:t>
      </w:r>
    </w:p>
    <w:p>
      <w:pPr>
        <w:pStyle w:val="BodyText"/>
      </w:pPr>
      <w:r>
        <w:t xml:space="preserve">2.8x</w:t>
      </w:r>
    </w:p>
    <w:p>
      <w:pPr>
        <w:pStyle w:val="BodyText"/>
      </w:pPr>
      <w:r>
        <w:t xml:space="preserve">+53.6%</w:t>
      </w:r>
    </w:p>
    <w:p>
      <w:pPr>
        <w:pStyle w:val="BodyText"/>
      </w:pPr>
      <w:r>
        <w:t xml:space="preserve">Project Win Rate (Complex Proposals)</w:t>
      </w:r>
    </w:p>
    <w:p>
      <w:pPr>
        <w:pStyle w:val="BodyText"/>
      </w:pPr>
      <w:r>
        <w:t xml:space="preserve">78%</w:t>
      </w:r>
    </w:p>
    <w:p>
      <w:pPr>
        <w:pStyle w:val="BodyText"/>
      </w:pPr>
      <w:r>
        <w:t xml:space="preserve">61%</w:t>
      </w:r>
    </w:p>
    <w:p>
      <w:pPr>
        <w:pStyle w:val="BodyText"/>
      </w:pPr>
      <w:r>
        <w:t xml:space="preserve">+17 pts.</w:t>
      </w:r>
    </w:p>
    <w:p>
      <w:pPr>
        <w:pStyle w:val="BodyText"/>
      </w:pPr>
      <w:r>
        <w:t xml:space="preserve">The Aerospace Engineer's technical sales approach—focusing on co-creating solutions with clients rather than transactional selling—has directly driven these results. For example, their redesign of satellite communication systems for China National Space Administration (CNSA) reduced component costs by 29% while increasing data throughput by 41%, resulting in a $3.2M contract renewal with immediate expansion options.</w:t>
      </w:r>
    </w:p>
    <w:bookmarkEnd w:id="22"/>
    <w:bookmarkStart w:id="23" w:name="X87c79d522bd78526aabc3957f47614986e8f4c7"/>
    <w:p>
      <w:pPr>
        <w:pStyle w:val="Heading2"/>
      </w:pPr>
      <w:r>
        <w:t xml:space="preserve">IV. Strategic Differentiation: The Aerospace Engineer's Value Proposition</w:t>
      </w:r>
    </w:p>
    <w:p>
      <w:pPr>
        <w:pStyle w:val="FirstParagraph"/>
      </w:pPr>
      <w:r>
        <w:t xml:space="preserve">In the highly competitive China Beijing aerospace market, our engineer's unique capabilities create sustainable competitive advantage:</w:t>
      </w:r>
    </w:p>
    <w:p>
      <w:pPr>
        <w:numPr>
          <w:ilvl w:val="0"/>
          <w:numId w:val="1001"/>
        </w:numPr>
        <w:pStyle w:val="Compact"/>
      </w:pPr>
      <w:r>
        <w:rPr>
          <w:bCs/>
          <w:b/>
        </w:rPr>
        <w:t xml:space="preserve">Technical Credibility:</w:t>
      </w:r>
      <w:r>
        <w:t xml:space="preserve"> </w:t>
      </w:r>
      <w:r>
        <w:t xml:space="preserve">Ability to directly engage with CNSA engineers and AVIC R&amp;D teams using Chinese technical standards (GB/ISO), eliminating third-party interpretation barriers</w:t>
      </w:r>
    </w:p>
    <w:p>
      <w:pPr>
        <w:numPr>
          <w:ilvl w:val="0"/>
          <w:numId w:val="1001"/>
        </w:numPr>
        <w:pStyle w:val="Compact"/>
      </w:pPr>
      <w:r>
        <w:rPr>
          <w:bCs/>
          <w:b/>
        </w:rPr>
        <w:t xml:space="preserve">Regulatory Navigation:</w:t>
      </w:r>
      <w:r>
        <w:t xml:space="preserve"> </w:t>
      </w:r>
      <w:r>
        <w:t xml:space="preserve">Deep understanding of China's 2023 Aerospace Export Control Regulations, ensuring compliant solution delivery</w:t>
      </w:r>
    </w:p>
    <w:p>
      <w:pPr>
        <w:numPr>
          <w:ilvl w:val="0"/>
          <w:numId w:val="1001"/>
        </w:numPr>
        <w:pStyle w:val="Compact"/>
      </w:pPr>
      <w:r>
        <w:rPr>
          <w:bCs/>
          <w:b/>
        </w:rPr>
        <w:t xml:space="preserve">Solution Architecture:</w:t>
      </w:r>
      <w:r>
        <w:t xml:space="preserve"> </w:t>
      </w:r>
      <w:r>
        <w:t xml:space="preserve">Designing systems that integrate with Beijing's Smart City infrastructure (e.g., BeiDou navigation), creating bundled value propositions</w:t>
      </w:r>
    </w:p>
    <w:p>
      <w:pPr>
        <w:numPr>
          <w:ilvl w:val="0"/>
          <w:numId w:val="1001"/>
        </w:numPr>
        <w:pStyle w:val="Compact"/>
      </w:pPr>
      <w:r>
        <w:rPr>
          <w:bCs/>
          <w:b/>
        </w:rPr>
        <w:t xml:space="preserve">Cultural Intelligence:</w:t>
      </w:r>
      <w:r>
        <w:t xml:space="preserve"> </w:t>
      </w:r>
      <w:r>
        <w:t xml:space="preserve">Leveraging local partnerships with Tsinghua University and Beihang University for rapid prototyping and talent pipeline development</w:t>
      </w:r>
    </w:p>
    <w:bookmarkEnd w:id="23"/>
    <w:bookmarkStart w:id="24" w:name="X2ba48f65fded6862fafce15b993e85f85e3e0c1"/>
    <w:p>
      <w:pPr>
        <w:pStyle w:val="Heading2"/>
      </w:pPr>
      <w:r>
        <w:t xml:space="preserve">V. Market Expansion Initiatives in China Beijing</w:t>
      </w:r>
    </w:p>
    <w:p>
      <w:pPr>
        <w:pStyle w:val="FirstParagraph"/>
      </w:pPr>
      <w:r>
        <w:t xml:space="preserve">Based on the Aerospace Engineer's field insights, we've launched three strategic initiatives driving future growth:</w:t>
      </w:r>
    </w:p>
    <w:p>
      <w:pPr>
        <w:numPr>
          <w:ilvl w:val="0"/>
          <w:numId w:val="1002"/>
        </w:numPr>
        <w:pStyle w:val="Compact"/>
      </w:pPr>
      <w:r>
        <w:rPr>
          <w:bCs/>
          <w:b/>
        </w:rPr>
        <w:t xml:space="preserve">Beijing Aerospace Innovation Hub:</w:t>
      </w:r>
      <w:r>
        <w:t xml:space="preserve"> </w:t>
      </w:r>
      <w:r>
        <w:t xml:space="preserve">Co-located R&amp;D facility with AVIC at the Zhongguancun Science Park. This joint venture has accelerated product development cycles by 63% and secured exclusive rights to three government pilot projects.</w:t>
      </w:r>
    </w:p>
    <w:p>
      <w:pPr>
        <w:numPr>
          <w:ilvl w:val="0"/>
          <w:numId w:val="1002"/>
        </w:numPr>
        <w:pStyle w:val="Compact"/>
      </w:pPr>
      <w:r>
        <w:rPr>
          <w:bCs/>
          <w:b/>
        </w:rPr>
        <w:t xml:space="preserve">Talent Development Program:</w:t>
      </w:r>
      <w:r>
        <w:t xml:space="preserve"> </w:t>
      </w:r>
      <w:r>
        <w:t xml:space="preserve">Certified 17 local engineers in our proprietary propulsion systems, creating a self-sustaining technical support network across China Beijing's aerospace cluster.</w:t>
      </w:r>
    </w:p>
    <w:p>
      <w:pPr>
        <w:numPr>
          <w:ilvl w:val="0"/>
          <w:numId w:val="1002"/>
        </w:numPr>
        <w:pStyle w:val="Compact"/>
      </w:pPr>
      <w:r>
        <w:rPr>
          <w:bCs/>
          <w:b/>
        </w:rPr>
        <w:t xml:space="preserve">Sustainability Integration:</w:t>
      </w:r>
      <w:r>
        <w:t xml:space="preserve"> </w:t>
      </w:r>
      <w:r>
        <w:t xml:space="preserve">Developed carbon-neutral aircraft components using Beijing's new green manufacturing standards, securing contracts with Air China and Hainan Airlines for fleet modernization.</w:t>
      </w:r>
    </w:p>
    <w:bookmarkEnd w:id="24"/>
    <w:bookmarkStart w:id="25" w:name="Xc618b6f6870240ae66aec3fd027ca9b004081e6"/>
    <w:p>
      <w:pPr>
        <w:pStyle w:val="Heading2"/>
      </w:pPr>
      <w:r>
        <w:t xml:space="preserve">VI. Competitive Landscape Analysis: China Beijing</w:t>
      </w:r>
    </w:p>
    <w:p>
      <w:pPr>
        <w:pStyle w:val="FirstParagraph"/>
      </w:pPr>
      <w:r>
        <w:t xml:space="preserve">The Beijing market is dominated by two key competitors: Xian Aircraft (state-owned) and private firm iFlyTek. Our Sales Report identifies the Aerospace Engineer's role in countering their advantages:</w:t>
      </w:r>
    </w:p>
    <w:p>
      <w:pPr>
        <w:numPr>
          <w:ilvl w:val="0"/>
          <w:numId w:val="1003"/>
        </w:numPr>
        <w:pStyle w:val="Compact"/>
      </w:pPr>
      <w:r>
        <w:t xml:space="preserve">While Xian relies on legacy government contracts, our engineer secured 12 commercial deals with emerging Beijing-based startups through flexible technical licensing</w:t>
      </w:r>
    </w:p>
    <w:p>
      <w:pPr>
        <w:numPr>
          <w:ilvl w:val="0"/>
          <w:numId w:val="1003"/>
        </w:numPr>
        <w:pStyle w:val="Compact"/>
      </w:pPr>
      <w:r>
        <w:t xml:space="preserve">iFlyTek's AI focus was countered by our engineer's hardware-software integration expertise (e.g., developing drone navigation systems that outperformed AI-only solutions in Beijing's urban canyons)</w:t>
      </w:r>
    </w:p>
    <w:p>
      <w:pPr>
        <w:numPr>
          <w:ilvl w:val="0"/>
          <w:numId w:val="1003"/>
        </w:numPr>
        <w:pStyle w:val="Compact"/>
      </w:pPr>
      <w:r>
        <w:t xml:space="preserve">Most critically, the engineer established trust through transparent technical demonstrations—addressing Beijing clients' primary concern about foreign technology dependency</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trajectory, China Beijing is projected to account for 31% of our global aerospace revenue by 2025. To maintain this momentum, we recommend:</w:t>
      </w:r>
    </w:p>
    <w:p>
      <w:pPr>
        <w:numPr>
          <w:ilvl w:val="0"/>
          <w:numId w:val="1004"/>
        </w:numPr>
        <w:pStyle w:val="Compact"/>
      </w:pPr>
      <w:r>
        <w:rPr>
          <w:bCs/>
          <w:b/>
        </w:rPr>
        <w:t xml:space="preserve">Scale the Aerospace Engineer Model:</w:t>
      </w:r>
      <w:r>
        <w:t xml:space="preserve"> </w:t>
      </w:r>
      <w:r>
        <w:t xml:space="preserve">Establish two additional Beijing-based Technical Sales Engineers focusing on satellite manufacturing and sustainable aviation fuel technologies</w:t>
      </w:r>
    </w:p>
    <w:p>
      <w:pPr>
        <w:numPr>
          <w:ilvl w:val="0"/>
          <w:numId w:val="1004"/>
        </w:numPr>
        <w:pStyle w:val="Compact"/>
      </w:pPr>
      <w:r>
        <w:rPr>
          <w:bCs/>
          <w:b/>
        </w:rPr>
        <w:t xml:space="preserve">Prioritize Local R&amp;D Investment:</w:t>
      </w:r>
      <w:r>
        <w:t xml:space="preserve"> </w:t>
      </w:r>
      <w:r>
        <w:t xml:space="preserve">Allocate $8.5M to a new Beijing innovation center focused on hypersonic propulsion—directly aligning with China's 2030 aerospace roadmap</w:t>
      </w:r>
    </w:p>
    <w:p>
      <w:pPr>
        <w:numPr>
          <w:ilvl w:val="0"/>
          <w:numId w:val="1004"/>
        </w:numPr>
        <w:pStyle w:val="Compact"/>
      </w:pPr>
      <w:r>
        <w:rPr>
          <w:bCs/>
          <w:b/>
        </w:rPr>
        <w:t xml:space="preserve">Enhance Government Partnerships:</w:t>
      </w:r>
      <w:r>
        <w:t xml:space="preserve"> </w:t>
      </w:r>
      <w:r>
        <w:t xml:space="preserve">Leverage the engineer's relationships with Beijing Municipal Science &amp; Technology Commission for priority access to funding programs</w:t>
      </w:r>
    </w:p>
    <w:bookmarkEnd w:id="26"/>
    <w:bookmarkStart w:id="27" w:name="X49ec5b9ede3f54a09c8c903d8f40e4803cc5ecf"/>
    <w:p>
      <w:pPr>
        <w:pStyle w:val="Heading2"/>
      </w:pPr>
      <w:r>
        <w:t xml:space="preserve">VIII. Conclusion: The Critical Role of Aerospace Engineer in China Beijing Success</w:t>
      </w:r>
    </w:p>
    <w:p>
      <w:pPr>
        <w:pStyle w:val="FirstParagraph"/>
      </w:pPr>
      <w:r>
        <w:t xml:space="preserve">This Sales Report unequivocally demonstrates that our Aerospace Engineer is not merely a technical resource but the cornerstone of our commercial strategy in China Beijing. Their ability to transform complex engineering concepts into commercially viable solutions has redefined customer expectations and set new industry benchmarks. As Beijing continues to evolve as Asia's aerospace capital, this specialized role will remain indispensable for capturing market share in sectors critical to China's technological sovereignty—commercial satellites, next-generation propulsion, and smart air traffic systems.</w:t>
      </w:r>
    </w:p>
    <w:p>
      <w:pPr>
        <w:pStyle w:val="BodyText"/>
      </w:pPr>
      <w:r>
        <w:t xml:space="preserve">With the Chinese government's increasing emphasis on "indigenous innovation," the strategic positioning of our Aerospace Engineer within Beijing's ecosystem provides a sustainable competitive moat. We project that maintaining this specialized role will deliver 22% CAGR in China Beijing aerospace sales through 2026, directly contributing to our global revenue target of $1.8B by fiscal year 2025. This Sales Report confirms that investing in engineering-led sales talent within China Beijing is not just strategic—it is fundamental to our long-term market leadership.</w:t>
      </w:r>
    </w:p>
    <w:p>
      <w:pPr>
        <w:pStyle w:val="BodyText"/>
      </w:pPr>
      <w:r>
        <w:rPr>
          <w:bCs/>
          <w:b/>
        </w:rPr>
        <w:t xml:space="preserve">Prepared by:</w:t>
      </w:r>
      <w:r>
        <w:t xml:space="preserve"> </w:t>
      </w:r>
      <w:r>
        <w:t xml:space="preserve">Global Aerospace Sales Strategy Unit</w:t>
      </w:r>
      <w:r>
        <w:br/>
      </w:r>
      <w:r>
        <w:rPr>
          <w:bCs/>
          <w:b/>
        </w:rPr>
        <w:t xml:space="preserve">Location:</w:t>
      </w:r>
      <w:r>
        <w:t xml:space="preserve"> </w:t>
      </w:r>
      <w:r>
        <w:t xml:space="preserve">Beijing, China</w:t>
      </w:r>
      <w:r>
        <w:br/>
      </w:r>
      <w:r>
        <w:rPr>
          <w:bCs/>
          <w:b/>
        </w:rPr>
        <w:t xml:space="preserve">Date Finalized:</w:t>
      </w:r>
      <w:r>
        <w:t xml:space="preserve"> </w:t>
      </w:r>
      <w:r>
        <w:t xml:space="preserve">October 25,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China Beijing</dc:title>
  <dc:creator/>
  <dc:language>en</dc:language>
  <cp:keywords/>
  <dcterms:created xsi:type="dcterms:W3CDTF">2026-07-21T00:34:55Z</dcterms:created>
  <dcterms:modified xsi:type="dcterms:W3CDTF">2026-07-21T00:34:55Z</dcterms:modified>
</cp:coreProperties>
</file>

<file path=docProps/custom.xml><?xml version="1.0" encoding="utf-8"?>
<Properties xmlns="http://schemas.openxmlformats.org/officeDocument/2006/custom-properties" xmlns:vt="http://schemas.openxmlformats.org/officeDocument/2006/docPropsVTypes"/>
</file>