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Performance</w:t>
      </w:r>
      <w:r>
        <w:t xml:space="preserve"> </w:t>
      </w:r>
      <w:r>
        <w:t xml:space="preserve">in</w:t>
      </w:r>
      <w:r>
        <w:t xml:space="preserve"> </w:t>
      </w:r>
      <w:r>
        <w:t xml:space="preserve">Egypt</w:t>
      </w:r>
      <w:r>
        <w:t xml:space="preserve"> </w:t>
      </w:r>
      <w:r>
        <w:t xml:space="preserve">Alexandria</w:t>
      </w:r>
      <w:r>
        <w:t xml:space="preserve"> </w:t>
      </w:r>
      <w:r>
        <w:t xml:space="preserve">Market</w:t>
      </w:r>
    </w:p>
    <w:bookmarkStart w:id="28" w:name="X48f6f8d3c2a520f57ee26617d305ac8e4682711"/>
    <w:p>
      <w:pPr>
        <w:pStyle w:val="Heading1"/>
      </w:pPr>
      <w:r>
        <w:t xml:space="preserve">Sales Report: Strategic Impact of Aerospace Engineer Expertise on Market Expansion in Egypt Alexandria</w:t>
      </w:r>
    </w:p>
    <w:bookmarkStart w:id="20" w:name="executive-summary"/>
    <w:p>
      <w:pPr>
        <w:pStyle w:val="Heading2"/>
      </w:pPr>
      <w:r>
        <w:t xml:space="preserve">Executive Summary</w:t>
      </w:r>
    </w:p>
    <w:p>
      <w:pPr>
        <w:pStyle w:val="FirstParagraph"/>
      </w:pPr>
      <w:r>
        <w:t xml:space="preserve">This Sales Report details the performance of our integrated technical-sales strategy centered around the role of the Aerospace Engineer within the dynamic aerospace sector of Egypt Alexandria. The report demonstrates how strategic collaboration between engineering expertise and sales leadership has driven a 27% year-on-year revenue growth in Alexandria's critical aerospace supply chain market. As Egypt accelerates its National Aerospace Strategy, particularly through initiatives like the Borg El Arab Aerospace Manufacturing Complex, the contribution of the dedicated Aerospace Engineer to closing high-value contracts has proven indispensable to our commercial success in this pivotal region.</w:t>
      </w:r>
    </w:p>
    <w:bookmarkEnd w:id="20"/>
    <w:bookmarkStart w:id="21" w:name="X26fd12db614f5cebedfedc41bd156c38fda0dd5"/>
    <w:p>
      <w:pPr>
        <w:pStyle w:val="Heading2"/>
      </w:pPr>
      <w:r>
        <w:t xml:space="preserve">Market Context: Egypt Alexandria as an Aerospace Hub</w:t>
      </w:r>
    </w:p>
    <w:p>
      <w:pPr>
        <w:pStyle w:val="FirstParagraph"/>
      </w:pPr>
      <w:r>
        <w:t xml:space="preserve">Egypt Alexandria represents a strategic nexus for aerospace development in Africa and the Middle East. The city's deep-sea port, proximity to major European markets, and established industrial zones like Borg El Arab have positioned it as Egypt’s primary aerospace manufacturing and logistics hub. The Egyptian Ministry of Military Production’s recent $150M investment in Alexandria's Aerospace Park – targeting 20% domestic component localization by 2027 – has intensified demand for specialized technical sales support. Our Sales Report confirms that clients, including the Egyptian Air Force, Arab Aerospace Manufacturing Company (AAMC), and international OEMs like Airbus Egypt Partners, consistently prioritize vendors with on-ground engineering capability. This is where our Aerospace Engineer role directly addresses a critical market need.</w:t>
      </w:r>
    </w:p>
    <w:bookmarkEnd w:id="21"/>
    <w:bookmarkStart w:id="22" w:name="X7524882687c5897fbc6526d5378f9a201382116"/>
    <w:p>
      <w:pPr>
        <w:pStyle w:val="Heading2"/>
      </w:pPr>
      <w:r>
        <w:t xml:space="preserve">Role Definition: The Strategic Aerospace Engineer in Sales</w:t>
      </w:r>
    </w:p>
    <w:p>
      <w:pPr>
        <w:pStyle w:val="FirstParagraph"/>
      </w:pPr>
      <w:r>
        <w:t xml:space="preserve">This report defines the modern Aerospace Engineer's sales function within our Alexandria operations. Unlike traditional engineers, this role bridges technical depth with commercial acumen. Responsibilities include:</w:t>
      </w:r>
    </w:p>
    <w:p>
      <w:pPr>
        <w:numPr>
          <w:ilvl w:val="0"/>
          <w:numId w:val="1001"/>
        </w:numPr>
        <w:pStyle w:val="Compact"/>
      </w:pPr>
      <w:r>
        <w:t xml:space="preserve">Conducting technical feasibility assessments for custom component requests from Egyptian defense and commercial clients</w:t>
      </w:r>
    </w:p>
    <w:p>
      <w:pPr>
        <w:numPr>
          <w:ilvl w:val="0"/>
          <w:numId w:val="1001"/>
        </w:numPr>
        <w:pStyle w:val="Compact"/>
      </w:pPr>
      <w:r>
        <w:t xml:space="preserve">Developing region-specific product demonstrations aligned with Egypt's evolving aviation infrastructure needs</w:t>
      </w:r>
    </w:p>
    <w:p>
      <w:pPr>
        <w:numPr>
          <w:ilvl w:val="0"/>
          <w:numId w:val="1001"/>
        </w:numPr>
        <w:pStyle w:val="Compact"/>
      </w:pPr>
      <w:r>
        <w:t xml:space="preserve">Providing real-time engineering support during client site visits across Alexandria (e.g., at the Almaza Air Base, Alexandria Shipyard)</w:t>
      </w:r>
    </w:p>
    <w:p>
      <w:pPr>
        <w:numPr>
          <w:ilvl w:val="0"/>
          <w:numId w:val="1001"/>
        </w:numPr>
        <w:pStyle w:val="Compact"/>
      </w:pPr>
      <w:r>
        <w:t xml:space="preserve">Translating complex technical specifications into clear commercial value propositions for Egyptian procurement officers</w:t>
      </w:r>
    </w:p>
    <w:p>
      <w:pPr>
        <w:pStyle w:val="FirstParagraph"/>
      </w:pPr>
      <w:r>
        <w:t xml:space="preserve">The role was specifically created to overcome a key barrier identified in our 2023 Egypt Market Analysis: 68% of potential clients cited "lack of local engineering support" as the primary reason for selecting competitors. The Aerospace Engineer has directly countered this weakness.</w:t>
      </w:r>
    </w:p>
    <w:bookmarkEnd w:id="22"/>
    <w:bookmarkStart w:id="23" w:name="X3016e082b68cc6ea2f9d6d15bdace0e6f26bd49"/>
    <w:p>
      <w:pPr>
        <w:pStyle w:val="Heading2"/>
      </w:pPr>
      <w:r>
        <w:t xml:space="preserve">Sales Performance Metrics (Alexandria Region -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Q4 2022</w:t>
            </w:r>
          </w:p>
        </w:tc>
        <w:tc>
          <w:tcPr/>
          <w:p>
            <w:pPr>
              <w:pStyle w:val="Compact"/>
              <w:jc w:val="left"/>
            </w:pPr>
            <w:r>
              <w:t xml:space="preserve">Q4 2023</w:t>
            </w:r>
          </w:p>
        </w:tc>
        <w:tc>
          <w:tcPr/>
          <w:p>
            <w:pPr>
              <w:pStyle w:val="Compact"/>
              <w:jc w:val="left"/>
            </w:pPr>
            <w:r>
              <w:t xml:space="preserve">% Change</w:t>
            </w:r>
          </w:p>
        </w:tc>
      </w:tr>
      <w:tr>
        <w:tc>
          <w:tcPr/>
          <w:p>
            <w:pPr>
              <w:pStyle w:val="Compact"/>
              <w:jc w:val="left"/>
            </w:pPr>
            <w:r>
              <w:t xml:space="preserve">Total Sales Value (Alexandria)</w:t>
            </w:r>
          </w:p>
        </w:tc>
        <w:tc>
          <w:tcPr/>
          <w:p>
            <w:pPr>
              <w:pStyle w:val="Compact"/>
              <w:jc w:val="left"/>
            </w:pPr>
            <w:r>
              <w:t xml:space="preserve">$1.8M</w:t>
            </w:r>
          </w:p>
        </w:tc>
        <w:tc>
          <w:tcPr/>
          <w:p>
            <w:pPr>
              <w:pStyle w:val="Compact"/>
              <w:jc w:val="left"/>
            </w:pPr>
            <w:r>
              <w:t xml:space="preserve">$2.3M</w:t>
            </w:r>
          </w:p>
        </w:tc>
        <w:tc>
          <w:tcPr/>
          <w:p>
            <w:pPr>
              <w:pStyle w:val="Compact"/>
              <w:jc w:val="left"/>
            </w:pPr>
            <w:r>
              <w:t xml:space="preserve">+27.8%</w:t>
            </w:r>
          </w:p>
        </w:tc>
      </w:tr>
      <w:tr>
        <w:tc>
          <w:tcPr/>
          <w:p>
            <w:pPr>
              <w:pStyle w:val="Compact"/>
              <w:jc w:val="left"/>
            </w:pPr>
            <w:r>
              <w:t xml:space="preserve">Deal Closure Rate (with Aerospace Engineer involvement)</w:t>
            </w:r>
          </w:p>
        </w:tc>
        <w:tc>
          <w:tcPr/>
          <w:p>
            <w:pPr>
              <w:pStyle w:val="Compact"/>
              <w:jc w:val="left"/>
            </w:pPr>
            <w:r>
              <w:t xml:space="preserve">54%</w:t>
            </w:r>
          </w:p>
        </w:tc>
        <w:tc>
          <w:tcPr/>
          <w:p>
            <w:pPr>
              <w:pStyle w:val="Compact"/>
              <w:jc w:val="left"/>
            </w:pPr>
            <w:r>
              <w:t xml:space="preserve">79%</w:t>
            </w:r>
          </w:p>
        </w:tc>
        <w:tc>
          <w:tcPr/>
          <w:p>
            <w:pPr>
              <w:pStyle w:val="Compact"/>
              <w:jc w:val="left"/>
            </w:pPr>
            <w:r>
              <w:t xml:space="preserve">+46.3%*</w:t>
            </w:r>
          </w:p>
        </w:tc>
      </w:tr>
      <w:tr>
        <w:tc>
          <w:tcPr/>
          <w:p>
            <w:pPr>
              <w:pStyle w:val="Compact"/>
              <w:jc w:val="left"/>
            </w:pPr>
            <w:r>
              <w:t xml:space="preserve">* Deals involving Aerospace Engineer technical support</w:t>
            </w:r>
          </w:p>
        </w:tc>
        <w:tc>
          <w:tcPr/>
          <w:p>
            <w:pPr>
              <w:pStyle w:val="Compact"/>
            </w:pPr>
          </w:p>
        </w:tc>
        <w:tc>
          <w:tcPr/>
          <w:p>
            <w:pPr>
              <w:pStyle w:val="Compact"/>
            </w:pPr>
          </w:p>
        </w:tc>
        <w:tc>
          <w:tcPr/>
          <w:p>
            <w:pPr>
              <w:pStyle w:val="Compact"/>
            </w:pPr>
          </w:p>
        </w:tc>
      </w:tr>
      <w:tr>
        <w:tc>
          <w:tcPr/>
          <w:p>
            <w:pPr>
              <w:pStyle w:val="Compact"/>
              <w:jc w:val="left"/>
            </w:pPr>
            <w:r>
              <w:t xml:space="preserve">Client Retention (Alexandria)</w:t>
            </w:r>
          </w:p>
        </w:tc>
        <w:tc>
          <w:tcPr/>
          <w:p>
            <w:pPr>
              <w:pStyle w:val="Compact"/>
              <w:jc w:val="left"/>
            </w:pPr>
            <w:r>
              <w:t xml:space="preserve">72%</w:t>
            </w:r>
          </w:p>
        </w:tc>
        <w:tc>
          <w:tcPr/>
          <w:p>
            <w:pPr>
              <w:pStyle w:val="Compact"/>
              <w:jc w:val="left"/>
            </w:pPr>
            <w:r>
              <w:t xml:space="preserve">86%</w:t>
            </w:r>
          </w:p>
        </w:tc>
        <w:tc>
          <w:tcPr/>
          <w:p>
            <w:pPr>
              <w:pStyle w:val="Compact"/>
              <w:jc w:val="left"/>
            </w:pPr>
            <w:r>
              <w:t xml:space="preserve">+14.0%</w:t>
            </w:r>
          </w:p>
        </w:tc>
      </w:tr>
      <w:tr>
        <w:tc>
          <w:tcPr/>
          <w:p>
            <w:pPr>
              <w:pStyle w:val="Compact"/>
              <w:jc w:val="left"/>
            </w:pPr>
            <w:r>
              <w:t xml:space="preserve">* Based on contracts renewed with engineering support</w:t>
            </w:r>
          </w:p>
        </w:tc>
        <w:tc>
          <w:tcPr/>
          <w:p>
            <w:pPr>
              <w:pStyle w:val="Compact"/>
            </w:pPr>
          </w:p>
        </w:tc>
        <w:tc>
          <w:tcPr/>
          <w:p>
            <w:pPr>
              <w:pStyle w:val="Compact"/>
            </w:pPr>
          </w:p>
        </w:tc>
        <w:tc>
          <w:tcPr/>
          <w:p>
            <w:pPr>
              <w:pStyle w:val="Compact"/>
            </w:pPr>
          </w:p>
        </w:tc>
      </w:tr>
      <w:tr>
        <w:tc>
          <w:tcPr/>
          <w:p>
            <w:pPr>
              <w:pStyle w:val="Compact"/>
              <w:jc w:val="left"/>
            </w:pPr>
            <w:r>
              <w:t xml:space="preserve">Lead Conversion (Technical Demos)</w:t>
            </w:r>
          </w:p>
        </w:tc>
        <w:tc>
          <w:tcPr/>
          <w:p>
            <w:pPr>
              <w:pStyle w:val="Compact"/>
              <w:jc w:val="left"/>
            </w:pPr>
            <w:r>
              <w:t xml:space="preserve">32%</w:t>
            </w:r>
          </w:p>
        </w:tc>
        <w:tc>
          <w:tcPr/>
          <w:p>
            <w:pPr>
              <w:pStyle w:val="Compact"/>
              <w:jc w:val="left"/>
            </w:pPr>
            <w:r>
              <w:t xml:space="preserve">58%</w:t>
            </w:r>
          </w:p>
        </w:tc>
        <w:tc>
          <w:tcPr/>
          <w:p>
            <w:pPr>
              <w:pStyle w:val="Compact"/>
              <w:jc w:val="left"/>
            </w:pPr>
            <w:r>
              <w:t xml:space="preserve">+81.3%*</w:t>
            </w:r>
          </w:p>
        </w:tc>
      </w:tr>
      <w:tr>
        <w:tc>
          <w:tcPr/>
          <w:p>
            <w:pPr>
              <w:pStyle w:val="Compact"/>
              <w:jc w:val="left"/>
            </w:pPr>
            <w:r>
              <w:t xml:space="preserve">* Leads with Aerospace Engineer-led technical demo</w:t>
            </w:r>
          </w:p>
        </w:tc>
        <w:tc>
          <w:tcPr/>
          <w:p>
            <w:pPr>
              <w:pStyle w:val="Compact"/>
            </w:pPr>
          </w:p>
        </w:tc>
        <w:tc>
          <w:tcPr/>
          <w:p>
            <w:pPr>
              <w:pStyle w:val="Compact"/>
            </w:pPr>
          </w:p>
        </w:tc>
        <w:tc>
          <w:tcPr/>
          <w:p>
            <w:pPr>
              <w:pStyle w:val="Compact"/>
            </w:pPr>
          </w:p>
        </w:tc>
      </w:tr>
    </w:tbl>
    <w:bookmarkEnd w:id="23"/>
    <w:bookmarkStart w:id="24" w:name="X45dd32f91d8795fd0b0d021d9ad872bf458bc7d"/>
    <w:p>
      <w:pPr>
        <w:pStyle w:val="Heading2"/>
      </w:pPr>
      <w:r>
        <w:t xml:space="preserve">Critical Success Factors in Egypt Alexandria</w:t>
      </w:r>
    </w:p>
    <w:p>
      <w:pPr>
        <w:pStyle w:val="FirstParagraph"/>
      </w:pPr>
      <w:r>
        <w:t xml:space="preserve">The Sales Report identifies three factors where the Aerospace Engineer delivered exceptional value:</w:t>
      </w:r>
      <w:r>
        <w:t xml:space="preserve"> </w:t>
      </w:r>
      <w:r>
        <w:rPr>
          <w:bCs/>
          <w:b/>
        </w:rPr>
        <w:t xml:space="preserve">1. Localization of Technical Support:</w:t>
      </w:r>
      <w:r>
        <w:t xml:space="preserve"> </w:t>
      </w:r>
      <w:r>
        <w:t xml:space="preserve">The engineer’s ability to navigate Egyptian military procurement protocols (e.g., MOI-007 standards) and leverage local engineering networks at Alexandria University's Faculty of Engineering significantly accelerated contract finalization with the Egyptian Air Force for new UAV component manufacturing.</w:t>
      </w:r>
      <w:r>
        <w:t xml:space="preserve"> </w:t>
      </w:r>
      <w:r>
        <w:rPr>
          <w:bCs/>
          <w:b/>
        </w:rPr>
        <w:t xml:space="preserve">2. Market-Specific Product Adaptation:</w:t>
      </w:r>
      <w:r>
        <w:t xml:space="preserve"> </w:t>
      </w:r>
      <w:r>
        <w:t xml:space="preserve">For a major contract with Borg El Arab Port Authority, the Aerospace Engineer redesigned a standard avionics mounting system to withstand Alexandria’s high saline environment, directly addressing client pain points and securing a $550K order.</w:t>
      </w:r>
      <w:r>
        <w:t xml:space="preserve"> </w:t>
      </w:r>
      <w:r>
        <w:rPr>
          <w:bCs/>
          <w:b/>
        </w:rPr>
        <w:t xml:space="preserve">3. Trust Building in High-Stakes Environment:</w:t>
      </w:r>
      <w:r>
        <w:t xml:space="preserve"> </w:t>
      </w:r>
      <w:r>
        <w:t xml:space="preserve">During negotiations for an Airbus Egypt Partners supply agreement, the engineer’s on-site troubleshooting of a vibration analysis issue at Alexandria's industrial park built unshakeable credibility with procurement leadership, turning a potential deal loss into a $1.2M annual contract.</w:t>
      </w:r>
    </w:p>
    <w:bookmarkEnd w:id="24"/>
    <w:bookmarkStart w:id="25" w:name="Xe7d3dd44291933d1e978c9b2d974471c2687c21"/>
    <w:p>
      <w:pPr>
        <w:pStyle w:val="Heading2"/>
      </w:pPr>
      <w:r>
        <w:t xml:space="preserve">Challenges and Strategic Adjustments in Egypt Alexandria</w:t>
      </w:r>
    </w:p>
    <w:p>
      <w:pPr>
        <w:pStyle w:val="FirstParagraph"/>
      </w:pPr>
      <w:r>
        <w:t xml:space="preserve">Our Sales Report acknowledges challenges unique to the Egypt Alexandria market:</w:t>
      </w:r>
    </w:p>
    <w:p>
      <w:pPr>
        <w:numPr>
          <w:ilvl w:val="0"/>
          <w:numId w:val="1002"/>
        </w:numPr>
        <w:pStyle w:val="Compact"/>
      </w:pPr>
      <w:r>
        <w:rPr>
          <w:bCs/>
          <w:b/>
        </w:rPr>
        <w:t xml:space="preserve">Infrastructure Delays:</w:t>
      </w:r>
      <w:r>
        <w:t xml:space="preserve"> </w:t>
      </w:r>
      <w:r>
        <w:t xml:space="preserve">Port congestion at Alexandria caused 3-week shipment delays for critical parts. The Aerospace Engineer proactively collaborated with local logistics partners (e.g., Alexandria Port Authority) to reroute shipments through the new Borg El Arab Free Zone, minimizing client impact.</w:t>
      </w:r>
    </w:p>
    <w:p>
      <w:pPr>
        <w:numPr>
          <w:ilvl w:val="0"/>
          <w:numId w:val="1002"/>
        </w:numPr>
        <w:pStyle w:val="Compact"/>
      </w:pPr>
      <w:r>
        <w:rPr>
          <w:bCs/>
          <w:b/>
        </w:rPr>
        <w:t xml:space="preserve">Talent Acquisition:</w:t>
      </w:r>
      <w:r>
        <w:t xml:space="preserve"> </w:t>
      </w:r>
      <w:r>
        <w:t xml:space="preserve">Shortage of mid-level Egyptian aerospace engineers required us to partner with Alexandria University for a targeted apprenticeship program. This initiative has now supplied 4 new engineers to our local sales support team within 18 months.</w:t>
      </w:r>
    </w:p>
    <w:p>
      <w:pPr>
        <w:pStyle w:val="FirstParagraph"/>
      </w:pPr>
      <w:r>
        <w:t xml:space="preserve">These challenges underscored the need for the Aerospace Engineer’s dual role – solving immediate technical hurdles while shaping long-term regional capability. Our investment in this role yielded a 32% reduction in post-sale engineering-related delays across Alexandria operations.</w:t>
      </w:r>
    </w:p>
    <w:bookmarkEnd w:id="25"/>
    <w:bookmarkStart w:id="26" w:name="Xab3c12c253b3011148e699dc2642a5efa0dbafe"/>
    <w:p>
      <w:pPr>
        <w:pStyle w:val="Heading2"/>
      </w:pPr>
      <w:r>
        <w:t xml:space="preserve">Future Outlook: Scaling the Aerospace Engineer Model in Egypt Alexandria</w:t>
      </w:r>
    </w:p>
    <w:p>
      <w:pPr>
        <w:pStyle w:val="FirstParagraph"/>
      </w:pPr>
      <w:r>
        <w:t xml:space="preserve">Based on the compelling data from this Sales Report, we project the Aerospace Engineer model will drive $4.5M+ sales in Alexandria by Q4 2024. Key initiatives include:</w:t>
      </w:r>
    </w:p>
    <w:p>
      <w:pPr>
        <w:numPr>
          <w:ilvl w:val="0"/>
          <w:numId w:val="1003"/>
        </w:numPr>
        <w:pStyle w:val="Compact"/>
      </w:pPr>
      <w:r>
        <w:t xml:space="preserve">Expanding the team to cover both commercial aviation (Alexandria International Airport expansions) and defense sectors (Almaza Air Base upgrades)</w:t>
      </w:r>
    </w:p>
    <w:p>
      <w:pPr>
        <w:numPr>
          <w:ilvl w:val="0"/>
          <w:numId w:val="1003"/>
        </w:numPr>
        <w:pStyle w:val="Compact"/>
      </w:pPr>
      <w:r>
        <w:t xml:space="preserve">Establishing a dedicated "Alexandria Technical Solutions Center" at Borg El Arab Aerospace Park, directly embedding the Aerospace Engineer within client operations</w:t>
      </w:r>
    </w:p>
    <w:p>
      <w:pPr>
        <w:numPr>
          <w:ilvl w:val="0"/>
          <w:numId w:val="1003"/>
        </w:numPr>
        <w:pStyle w:val="Compact"/>
      </w:pPr>
      <w:r>
        <w:t xml:space="preserve">Developing localized training modules on Egyptian aerospace standards for our global sales force, ensuring all teams can effectively leverage our Alexandria expertise</w:t>
      </w:r>
    </w:p>
    <w:p>
      <w:pPr>
        <w:pStyle w:val="FirstParagraph"/>
      </w:pPr>
      <w:r>
        <w:t xml:space="preserve">This strategy positions us to capture 35% of the projected $12.7B Egypt aerospace market growth by 2030, with Alexandria as the operational heartland. The data conclusively shows that embedding the Aerospace Engineer within sales operations – not as a back-office function but as a frontline commercial asset – is non-negotiable for success in Egypt’s evolving aerospace landscape.</w:t>
      </w:r>
    </w:p>
    <w:bookmarkEnd w:id="26"/>
    <w:bookmarkStart w:id="27" w:name="conclusion"/>
    <w:p>
      <w:pPr>
        <w:pStyle w:val="Heading2"/>
      </w:pPr>
      <w:r>
        <w:t xml:space="preserve">Conclusion</w:t>
      </w:r>
    </w:p>
    <w:p>
      <w:pPr>
        <w:pStyle w:val="FirstParagraph"/>
      </w:pPr>
      <w:r>
        <w:t xml:space="preserve">This Sales Report unequivocally demonstrates that in the competitive ecosystem of Egypt Alexandria, the Aerospace Engineer has transitioned from a technical support role to a core revenue driver. The strategic integration of engineering expertise within our sales process directly correlates with higher deal values, faster cycles, and stronger client retention across all key sectors in Alexandria. As Egypt's aerospace ambitions accelerate through initiatives like the National Aerospace Strategy and Borg El Arab’s development, the presence of skilled local Aerospace Engineers is no longer an asset – it is the fundamental requirement for market leadership. Our Alexandria operation has proven this model; scaling it nationally will define our success in Egypt's aviation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Performance in Egypt Alexandria Market</dc:title>
  <dc:creator/>
  <cp:keywords/>
  <dcterms:created xsi:type="dcterms:W3CDTF">2026-07-23T16:25:47Z</dcterms:created>
  <dcterms:modified xsi:type="dcterms:W3CDTF">2026-07-23T16:25:47Z</dcterms:modified>
</cp:coreProperties>
</file>

<file path=docProps/custom.xml><?xml version="1.0" encoding="utf-8"?>
<Properties xmlns="http://schemas.openxmlformats.org/officeDocument/2006/custom-properties" xmlns:vt="http://schemas.openxmlformats.org/officeDocument/2006/docPropsVTypes"/>
</file>