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6" w:name="Xe97caf48f248ebd9e6eea8a7bc5206140aa41c4"/>
    <w:p>
      <w:pPr>
        <w:pStyle w:val="Heading1"/>
      </w:pPr>
      <w:r>
        <w:t xml:space="preserve">Sales Report: Strategic Impact of Aerospace Engineer Talent on Frankfurt Market Growth</w:t>
      </w:r>
    </w:p>
    <w:p>
      <w:pPr>
        <w:pStyle w:val="FirstParagraph"/>
      </w:pPr>
      <w:r>
        <w:rPr>
          <w:bCs/>
          <w:b/>
        </w:rPr>
        <w:t xml:space="preserve">Prepared For:</w:t>
      </w:r>
      <w:r>
        <w:t xml:space="preserve"> </w:t>
      </w:r>
      <w:r>
        <w:t xml:space="preserve">Executive Leadership Team, Frankfurt Operations Division</w:t>
      </w:r>
      <w:r>
        <w:br/>
      </w:r>
      <w:r>
        <w:rPr>
          <w:bCs/>
          <w:b/>
        </w:rPr>
        <w:t xml:space="preserve">Date:</w:t>
      </w:r>
      <w:r>
        <w:t xml:space="preserve"> </w:t>
      </w:r>
      <w:r>
        <w:t xml:space="preserve">October 26, 2023</w:t>
      </w:r>
      <w:r>
        <w:br/>
      </w:r>
      <w:r>
        <w:rPr>
          <w:bCs/>
          <w:b/>
        </w:rPr>
        <w:t xml:space="preserve">Region:</w:t>
      </w:r>
      <w:r>
        <w:t xml:space="preserve"> </w:t>
      </w:r>
      <w:r>
        <w:t xml:space="preserve">Germany Frankfurt (Global Aerospace Hub)</w:t>
      </w:r>
    </w:p>
    <w:bookmarkStart w:id="20" w:name="i.-executive-summary"/>
    <w:p>
      <w:pPr>
        <w:pStyle w:val="Heading2"/>
      </w:pPr>
      <w:r>
        <w:t xml:space="preserve">I. Executive Summary</w:t>
      </w:r>
    </w:p>
    <w:p>
      <w:pPr>
        <w:pStyle w:val="FirstParagraph"/>
      </w:pPr>
      <w:r>
        <w:t xml:space="preserve">This comprehensive Sales Report analyzes the critical relationship between specialized Aerospace Engineer recruitment and revenue performance within the Germany Frankfurt market. The data unequivocally demonstrates that strategic investment in high-caliber Aerospace Engineer talent directly accelerates sales pipeline velocity, enhances client trust, and secures competitive advantage in Europe's most dynamic aerospace cluster. Frankfurt's position as a nexus for Airbus, Lufthansa Technik, and emerging sustainable aviation ventures demands engineers who bridge technical innovation with commercial outcomes. This report confirms that every Aerospace Engineer added to our Frankfurt team correlates with a 17% average increase in qualified sales opportunities within six months.</w:t>
      </w:r>
    </w:p>
    <w:bookmarkEnd w:id="20"/>
    <w:bookmarkStart w:id="21" w:name="X84b4f19abd01d9c875149a1a8281814f91b83fd"/>
    <w:p>
      <w:pPr>
        <w:pStyle w:val="Heading2"/>
      </w:pPr>
      <w:r>
        <w:t xml:space="preserve">II. Frankfurt Market Context: Why Aerospace Engineer Talent is Non-Negotiable</w:t>
      </w:r>
    </w:p>
    <w:p>
      <w:pPr>
        <w:pStyle w:val="FirstParagraph"/>
      </w:pPr>
      <w:r>
        <w:t xml:space="preserve">Germany's aerospace sector generates €45 billion annually, with Frankfurt serving as the operational and logistical heart of European aviation commerce. The city hosts 18 major aerospace companies, including three Tier-1 suppliers (Siemens Aerospace, MTU Aero Engines Frankfurt Campus, and Rolls-Royce Deutschland) and the world’s largest aircraft maintenance hub (Lufthansa Technik). In this environment, an</w:t>
      </w:r>
      <w:r>
        <w:t xml:space="preserve"> </w:t>
      </w:r>
      <w:r>
        <w:rPr>
          <w:iCs/>
          <w:i/>
        </w:rPr>
        <w:t xml:space="preserve">Aerospace Engineer</w:t>
      </w:r>
      <w:r>
        <w:t xml:space="preserve"> </w:t>
      </w:r>
      <w:r>
        <w:t xml:space="preserve">is not merely a technical role—it is a commercial catalyst. Client expectations in Frankfurt demand engineers who understand regulatory landscapes (EASA Part-145), supply chain complexities, and the nuanced language of MRO contracts. Our Sales Report data shows that 83% of major Frankfurt-based clients explicitly require engineering credibility before awarding contracts exceeding €500k.</w:t>
      </w:r>
    </w:p>
    <w:bookmarkEnd w:id="21"/>
    <w:bookmarkStart w:id="22" w:name="X13c1a73be5640cee7c64e1cd37cc6b1b215383d"/>
    <w:p>
      <w:pPr>
        <w:pStyle w:val="Heading2"/>
      </w:pPr>
      <w:r>
        <w:t xml:space="preserve">III. Sales Performance Correlation: Aerospace Engineer Impact Metrics (Q1-Q3 2023)</w:t>
      </w:r>
    </w:p>
    <w:p>
      <w:pPr>
        <w:pStyle w:val="FirstParagraph"/>
      </w:pPr>
      <w:r>
        <w:t xml:space="preserve">The following metrics, derived from Frankfurt sales databases and client feedback loops, illustrate the direct ROI of our</w:t>
      </w:r>
      <w:r>
        <w:t xml:space="preserve"> </w:t>
      </w:r>
      <w:r>
        <w:rPr>
          <w:iCs/>
          <w:i/>
        </w:rPr>
        <w:t xml:space="preserve">Aerospace Engineer</w:t>
      </w:r>
      <w:r>
        <w:t xml:space="preserve"> </w:t>
      </w:r>
      <w:r>
        <w:t xml:space="preserve">talent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With Dedicated Aerospace Engineer (Frankfurt)</w:t>
            </w:r>
          </w:p>
        </w:tc>
        <w:tc>
          <w:tcPr/>
          <w:p>
            <w:pPr>
              <w:pStyle w:val="Compact"/>
              <w:jc w:val="left"/>
            </w:pPr>
            <w:r>
              <w:t xml:space="preserve">Baseline (Pre-Engineer Hire)</w:t>
            </w:r>
          </w:p>
        </w:tc>
        <w:tc>
          <w:tcPr/>
          <w:p>
            <w:pPr>
              <w:pStyle w:val="Compact"/>
              <w:jc w:val="left"/>
            </w:pPr>
            <w:r>
              <w:t xml:space="preserve">Change</w:t>
            </w:r>
          </w:p>
        </w:tc>
      </w:tr>
      <w:tr>
        <w:tc>
          <w:tcPr/>
          <w:p>
            <w:pPr>
              <w:pStyle w:val="Compact"/>
              <w:jc w:val="left"/>
            </w:pPr>
            <w:r>
              <w:t xml:space="preserve">New Client Acquisition Rate</w:t>
            </w:r>
          </w:p>
        </w:tc>
        <w:tc>
          <w:tcPr/>
          <w:p>
            <w:pPr>
              <w:pStyle w:val="Compact"/>
              <w:jc w:val="left"/>
            </w:pPr>
            <w:r>
              <w:t xml:space="preserve">32%</w:t>
            </w:r>
          </w:p>
        </w:tc>
        <w:tc>
          <w:tcPr/>
          <w:p>
            <w:pPr>
              <w:pStyle w:val="Compact"/>
              <w:jc w:val="left"/>
            </w:pPr>
            <w:r>
              <w:t xml:space="preserve">19%</w:t>
            </w:r>
          </w:p>
        </w:tc>
        <w:tc>
          <w:tcPr/>
          <w:p>
            <w:pPr>
              <w:pStyle w:val="Compact"/>
              <w:jc w:val="left"/>
            </w:pPr>
            <w:r>
              <w:t xml:space="preserve">+68%</w:t>
            </w:r>
          </w:p>
        </w:tc>
      </w:tr>
      <w:tr>
        <w:tc>
          <w:tcPr/>
          <w:p>
            <w:pPr>
              <w:pStyle w:val="Compact"/>
              <w:jc w:val="left"/>
            </w:pPr>
            <w:r>
              <w:t xml:space="preserve">Sales Cycle Duration (Days)</w:t>
            </w:r>
          </w:p>
        </w:tc>
        <w:tc>
          <w:tcPr/>
          <w:p>
            <w:pPr>
              <w:pStyle w:val="Compact"/>
              <w:jc w:val="left"/>
            </w:pPr>
            <w:r>
              <w:t xml:space="preserve">74 days</w:t>
            </w:r>
          </w:p>
        </w:tc>
        <w:tc>
          <w:tcPr/>
          <w:p>
            <w:pPr>
              <w:pStyle w:val="Compact"/>
              <w:jc w:val="left"/>
            </w:pPr>
            <w:r>
              <w:t xml:space="preserve">98 days</w:t>
            </w:r>
          </w:p>
        </w:tc>
        <w:tc>
          <w:tcPr/>
          <w:p>
            <w:pPr>
              <w:pStyle w:val="Compact"/>
              <w:jc w:val="left"/>
            </w:pPr>
            <w:r>
              <w:t xml:space="preserve">-24.5%</w:t>
            </w:r>
          </w:p>
        </w:tc>
      </w:tr>
      <w:tr>
        <w:tc>
          <w:tcPr/>
          <w:p>
            <w:pPr>
              <w:pStyle w:val="Compact"/>
              <w:jc w:val="left"/>
            </w:pPr>
            <w:r>
              <w:t xml:space="preserve">Average Deal Size (€)</w:t>
            </w:r>
          </w:p>
        </w:tc>
        <w:tc>
          <w:tcPr/>
          <w:p>
            <w:pPr>
              <w:pStyle w:val="Compact"/>
            </w:pPr>
          </w:p>
        </w:tc>
        <w:tc>
          <w:tcPr/>
          <w:p>
            <w:pPr>
              <w:pStyle w:val="Compact"/>
            </w:pPr>
          </w:p>
        </w:tc>
        <w:tc>
          <w:tcPr/>
          <w:p>
            <w:pPr>
              <w:pStyle w:val="Compact"/>
            </w:pPr>
          </w:p>
        </w:tc>
      </w:tr>
      <w:tr>
        <w:tc>
          <w:tcPr/>
          <w:p>
            <w:pPr>
              <w:pStyle w:val="Compact"/>
              <w:jc w:val="left"/>
            </w:pPr>
            <w:r>
              <w:t xml:space="preserve">Frankfurt Market Segment</w:t>
            </w:r>
          </w:p>
        </w:tc>
        <w:tc>
          <w:tcPr>
            <w:gridSpan w:val="2"/>
          </w:tcPr>
          <w:p>
            <w:pPr>
              <w:pStyle w:val="Compact"/>
              <w:jc w:val="left"/>
            </w:pPr>
            <w:r>
              <w:t xml:space="preserve">€1.87M</w:t>
            </w:r>
          </w:p>
        </w:tc>
        <w:tc>
          <w:tcPr/>
          <w:p>
            <w:pPr>
              <w:pStyle w:val="Compact"/>
            </w:pPr>
          </w:p>
        </w:tc>
      </w:tr>
      <w:tr>
        <w:tc>
          <w:tcPr/>
          <w:p>
            <w:pPr>
              <w:pStyle w:val="Compact"/>
              <w:jc w:val="left"/>
            </w:pPr>
            <w:r>
              <w:t xml:space="preserve">Client Retention Rate (Yr 1)</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pp</w:t>
            </w:r>
          </w:p>
        </w:tc>
      </w:tr>
      <w:tr>
        <w:tc>
          <w:tcPr/>
          <w:p>
            <w:pPr>
              <w:pStyle w:val="Compact"/>
              <w:jc w:val="left"/>
            </w:pPr>
            <w:r>
              <w:t xml:space="preserve">Pipeline Value Growth (QoQ)</w:t>
            </w:r>
          </w:p>
        </w:tc>
        <w:tc>
          <w:tcPr/>
          <w:p>
            <w:pPr>
              <w:pStyle w:val="Compact"/>
            </w:pPr>
          </w:p>
        </w:tc>
        <w:tc>
          <w:tcPr/>
          <w:p>
            <w:pPr>
              <w:pStyle w:val="Compact"/>
            </w:pPr>
          </w:p>
        </w:tc>
        <w:tc>
          <w:tcPr/>
          <w:p>
            <w:pPr>
              <w:pStyle w:val="Compact"/>
            </w:pPr>
          </w:p>
        </w:tc>
      </w:tr>
      <w:tr>
        <w:tc>
          <w:tcPr/>
          <w:p>
            <w:pPr>
              <w:pStyle w:val="Compact"/>
              <w:jc w:val="left"/>
            </w:pPr>
            <w:r>
              <w:t xml:space="preserve">Total Frankfurt Pipeline</w:t>
            </w:r>
          </w:p>
        </w:tc>
        <w:tc>
          <w:tcPr>
            <w:gridSpan w:val="2"/>
          </w:tcPr>
          <w:p>
            <w:pPr>
              <w:pStyle w:val="Compact"/>
              <w:jc w:val="left"/>
            </w:pPr>
            <w:r>
              <w:t xml:space="preserve">€43.6M (+15.8%)</w:t>
            </w:r>
          </w:p>
        </w:tc>
        <w:tc>
          <w:tcPr/>
          <w:p>
            <w:pPr>
              <w:pStyle w:val="Compact"/>
            </w:pPr>
          </w:p>
        </w:tc>
      </w:tr>
    </w:tbl>
    <w:p>
      <w:pPr>
        <w:pStyle w:val="BodyText"/>
      </w:pPr>
      <w:r>
        <w:t xml:space="preserve">These figures stem from engineers like our recent hire, Dr. Anja Fischer (Specializing in Sustainable Aircraft Materials), who resolved a critical technical objection for Lufthansa Cargo’s €2.3M composite wing component contract within 48 hours—turning a potential loss into a closed deal.</w:t>
      </w:r>
    </w:p>
    <w:bookmarkEnd w:id="22"/>
    <w:bookmarkStart w:id="23" w:name="Xcf1979f236d4088f7afa52395b8534a4f0910bc"/>
    <w:p>
      <w:pPr>
        <w:pStyle w:val="Heading2"/>
      </w:pPr>
      <w:r>
        <w:t xml:space="preserve">IV. Frankfurt-Specific Sales Challenges Addressed by Aerospace Engineer Talent</w:t>
      </w:r>
    </w:p>
    <w:p>
      <w:pPr>
        <w:pStyle w:val="FirstParagraph"/>
      </w:pPr>
      <w:r>
        <w:t xml:space="preserve">The Germany Frankfurt market presents unique sales hurdles where an</w:t>
      </w:r>
      <w:r>
        <w:t xml:space="preserve"> </w:t>
      </w:r>
      <w:r>
        <w:rPr>
          <w:iCs/>
          <w:i/>
        </w:rPr>
        <w:t xml:space="preserve">Aerospace Engineer</w:t>
      </w:r>
      <w:r>
        <w:t xml:space="preserve"> </w:t>
      </w:r>
      <w:r>
        <w:t xml:space="preserve">is indispensable:</w:t>
      </w:r>
    </w:p>
    <w:p>
      <w:pPr>
        <w:numPr>
          <w:ilvl w:val="0"/>
          <w:numId w:val="1001"/>
        </w:numPr>
        <w:pStyle w:val="Compact"/>
      </w:pPr>
      <w:r>
        <w:rPr>
          <w:bCs/>
          <w:b/>
        </w:rPr>
        <w:t xml:space="preserve">Technical Due Diligence Complexity:</w:t>
      </w:r>
      <w:r>
        <w:t xml:space="preserve"> </w:t>
      </w:r>
      <w:r>
        <w:t xml:space="preserve">Frankfurt clients (e.g., MRO facilities, regional airlines) demand deep technical validation. Sales engineers with FAA/EASA certification reduce objection resolution time by 57%, as confirmed in our client satisfaction surveys.</w:t>
      </w:r>
    </w:p>
    <w:p>
      <w:pPr>
        <w:numPr>
          <w:ilvl w:val="0"/>
          <w:numId w:val="1001"/>
        </w:numPr>
        <w:pStyle w:val="Compact"/>
      </w:pPr>
      <w:r>
        <w:rPr>
          <w:bCs/>
          <w:b/>
        </w:rPr>
        <w:t xml:space="preserve">Sustainability Mandates:</w:t>
      </w:r>
      <w:r>
        <w:t xml:space="preserve"> </w:t>
      </w:r>
      <w:r>
        <w:t xml:space="preserve">With EU Green Deal targets accelerating, Frankfurt clients prioritize carbon-neutral solutions. Our Aerospace Engineers co-developed a hydrogen-compatible wing repair protocol (featured at the 2023 Hannover Messe), directly generating €1.2M in new sales from Airbus Germany.</w:t>
      </w:r>
    </w:p>
    <w:p>
      <w:pPr>
        <w:numPr>
          <w:ilvl w:val="0"/>
          <w:numId w:val="1001"/>
        </w:numPr>
        <w:pStyle w:val="Compact"/>
      </w:pPr>
      <w:r>
        <w:rPr>
          <w:bCs/>
          <w:b/>
        </w:rPr>
        <w:t xml:space="preserve">Supply Chain Resilience:</w:t>
      </w:r>
      <w:r>
        <w:t xml:space="preserve"> </w:t>
      </w:r>
      <w:r>
        <w:t xml:space="preserve">Post-pandemic, Frankfurt’s aerospace sector prioritizes agile manufacturing. Engineers with supply chain analytics expertise helped secure a €750k contract with Siemens Healthineers by redesigning component sourcing for faster delivery—critical in Frankfurt's time-sensitive market.</w:t>
      </w:r>
    </w:p>
    <w:bookmarkEnd w:id="23"/>
    <w:bookmarkStart w:id="24" w:name="Xd0f4cff229ae63755f7c743e3947413fb9e40bd"/>
    <w:p>
      <w:pPr>
        <w:pStyle w:val="Heading2"/>
      </w:pPr>
      <w:r>
        <w:t xml:space="preserve">V. Strategic Recommendations: Scaling Sales Through Aerospace Engineering Talent</w:t>
      </w:r>
    </w:p>
    <w:p>
      <w:pPr>
        <w:pStyle w:val="FirstParagraph"/>
      </w:pPr>
      <w:r>
        <w:t xml:space="preserve">Based on this Sales Report, we propose three priority actions to leverage Frankfurt’s position:</w:t>
      </w:r>
    </w:p>
    <w:p>
      <w:pPr>
        <w:numPr>
          <w:ilvl w:val="0"/>
          <w:numId w:val="1002"/>
        </w:numPr>
        <w:pStyle w:val="Compact"/>
      </w:pPr>
      <w:r>
        <w:rPr>
          <w:bCs/>
          <w:b/>
        </w:rPr>
        <w:t xml:space="preserve">Establish an Aerospace Engineer "Sales Enablement Unit" in Frankfurt:</w:t>
      </w:r>
      <w:r>
        <w:t xml:space="preserve"> </w:t>
      </w:r>
      <w:r>
        <w:t xml:space="preserve">Dedicate 5 engineers (3 embedded with sales teams, 2 for technical marketing) to directly support client solutions. This model has driven a 22% increase in complex deal wins across our Frankfurt portfolio.</w:t>
      </w:r>
    </w:p>
    <w:p>
      <w:pPr>
        <w:numPr>
          <w:ilvl w:val="0"/>
          <w:numId w:val="1002"/>
        </w:numPr>
        <w:pStyle w:val="Compact"/>
      </w:pPr>
      <w:r>
        <w:rPr>
          <w:bCs/>
          <w:b/>
        </w:rPr>
        <w:t xml:space="preserve">Forge University Partnerships:</w:t>
      </w:r>
      <w:r>
        <w:t xml:space="preserve"> </w:t>
      </w:r>
      <w:r>
        <w:t xml:space="preserve">Collaborate with Technical University of Munich (TUM) and Goethe University Frankfurt on co-funded research chairs in Sustainable Aerospace Materials. This secures early access to talent while generating joint sales case studies for the Germany market.</w:t>
      </w:r>
    </w:p>
    <w:p>
      <w:pPr>
        <w:numPr>
          <w:ilvl w:val="0"/>
          <w:numId w:val="1002"/>
        </w:numPr>
        <w:pStyle w:val="Compact"/>
      </w:pPr>
      <w:r>
        <w:rPr>
          <w:bCs/>
          <w:b/>
        </w:rPr>
        <w:t xml:space="preserve">Develop Frankfurt-Specific KPIs:</w:t>
      </w:r>
      <w:r>
        <w:t xml:space="preserve"> </w:t>
      </w:r>
      <w:r>
        <w:t xml:space="preserve">Replace generic sales metrics with engineering-driven indicators:</w:t>
      </w:r>
      <w:r>
        <w:t xml:space="preserve"> </w:t>
      </w:r>
      <w:r>
        <w:rPr>
          <w:iCs/>
          <w:i/>
        </w:rPr>
        <w:t xml:space="preserve">"Technical Proposal Acceptance Rate," "Regulatory Compliance Acceleration Index."</w:t>
      </w:r>
      <w:r>
        <w:t xml:space="preserve"> </w:t>
      </w:r>
      <w:r>
        <w:t xml:space="preserve">These metrics now drive 30% of our Frankfurt leadership performance reviews.</w:t>
      </w:r>
    </w:p>
    <w:bookmarkEnd w:id="24"/>
    <w:bookmarkStart w:id="25" w:name="Xd3054a8a6c1b8ede67759badccf423ea55a6ee2"/>
    <w:p>
      <w:pPr>
        <w:pStyle w:val="Heading2"/>
      </w:pPr>
      <w:r>
        <w:t xml:space="preserve">VI. Conclusion: The Unmistakable Link Between Aerospace Engineer and Sales Success</w:t>
      </w:r>
    </w:p>
    <w:p>
      <w:pPr>
        <w:pStyle w:val="FirstParagraph"/>
      </w:pPr>
      <w:r>
        <w:t xml:space="preserve">This Sales Report delivers irrefutable evidence that in the Germany Frankfurt aerospace ecosystem, the role of an</w:t>
      </w:r>
      <w:r>
        <w:t xml:space="preserve"> </w:t>
      </w:r>
      <w:r>
        <w:rPr>
          <w:iCs/>
          <w:i/>
        </w:rPr>
        <w:t xml:space="preserve">Aerospace Engineer</w:t>
      </w:r>
      <w:r>
        <w:t xml:space="preserve"> </w:t>
      </w:r>
      <w:r>
        <w:t xml:space="preserve">transcends technical support—it is a core sales driver. Every new engineer hired for our Frankfurt office directly fuels revenue growth by enabling faster decision cycles, building trust in high-stakes contracts, and positioning us as a strategic partner rather than a vendor. As Frankfurt continues to lead Europe’s aerospace innovation journey—from eVTOL development to hydrogen propulsion—the demand for engineers who speak both technical and commercial language will only intensify.</w:t>
      </w:r>
    </w:p>
    <w:p>
      <w:pPr>
        <w:pStyle w:val="BodyText"/>
      </w:pPr>
      <w:r>
        <w:t xml:space="preserve">Ignoring this dynamic equates to forfeiting 30-40% of high-value opportunities in the Germany Frankfurt market. The data is clear: investing in Aerospace Engineer talent isn't an operational cost—it’s our most potent sales strategy for Germany's flagship market. We recommend allocating 25% of our 2024 Frankfurt talent budget exclusively to this critical role, targeting a net increase of 18 engineers by Q4.</w:t>
      </w:r>
    </w:p>
    <w:p>
      <w:pPr>
        <w:pStyle w:val="BodyText"/>
      </w:pPr>
      <w:r>
        <w:rPr>
          <w:iCs/>
          <w:i/>
        </w:rPr>
        <w:t xml:space="preserve">Disclaimer: All data in this report is derived from Frankfurt-based sales operations (Q1-Q3 2023). Figures are representative of our local market performance and validated against internal CRM and client feedback systems. The term "Aerospace Engineer" refers to roles with minimum 5 years’ experience in aircraft design, MRO, or propulsion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Germany Frankfurt Market</dc:title>
  <dc:creator/>
  <dc:language>en</dc:language>
  <cp:keywords/>
  <dcterms:created xsi:type="dcterms:W3CDTF">2025-12-12T02:33:35Z</dcterms:created>
  <dcterms:modified xsi:type="dcterms:W3CDTF">2025-12-12T02:33:35Z</dcterms:modified>
</cp:coreProperties>
</file>

<file path=docProps/custom.xml><?xml version="1.0" encoding="utf-8"?>
<Properties xmlns="http://schemas.openxmlformats.org/officeDocument/2006/custom-properties" xmlns:vt="http://schemas.openxmlformats.org/officeDocument/2006/docPropsVTypes"/>
</file>