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p>
      <w:pPr>
        <w:pStyle w:val="FirstParagraph"/>
      </w:pPr>
      <w:r>
        <w:t xml:space="preserve">AEROSPACE ENGINEERING SALES REPORT: KUWAIT CITY MARKET ANALYSIS</w:t>
      </w:r>
    </w:p>
    <w:p>
      <w:pPr>
        <w:pStyle w:val="BodyText"/>
      </w:pPr>
      <w:r>
        <w:t xml:space="preserve">Prepared for Strategic Business Development Team | Q3 2024 | Kuwait City, State of Kuwait</w:t>
      </w:r>
    </w:p>
    <w:bookmarkStart w:id="20" w:name="executive-summary"/>
    <w:p>
      <w:pPr>
        <w:pStyle w:val="Heading2"/>
      </w:pPr>
      <w:r>
        <w:t xml:space="preserve">Executive Summary</w:t>
      </w:r>
    </w:p>
    <w:p>
      <w:pPr>
        <w:pStyle w:val="FirstParagraph"/>
      </w:pPr>
      <w:r>
        <w:t xml:space="preserve">This comprehensive Sales Report details the growing demand for highly skilled Aerospace Engineers across the strategic market of Kuwait City. As the Gulf region's aerospace sector accelerates its transformation toward advanced aviation, defense systems, and space technology initiatives, Kuwait City has emerged as a pivotal hub for engineering talent acquisition. The report confirms that positions requiring expertise in aerospace engineering have experienced a 37% year-over-year increase in recruitment demand within Kuwait City's industrial corridors. This surge directly correlates with the National Aerospace Strategy launched by the Ministry of Defense and the State of Kuwait, creating unprecedented opportunities for qualified professionals to contribute to regional innovation.</w:t>
      </w:r>
    </w:p>
    <w:bookmarkEnd w:id="20"/>
    <w:bookmarkStart w:id="21" w:name="market-demand-analysis-kuwait-city-focus"/>
    <w:p>
      <w:pPr>
        <w:pStyle w:val="Heading2"/>
      </w:pPr>
      <w:r>
        <w:t xml:space="preserve">Market Demand Analysis: Kuwait City Focus</w:t>
      </w:r>
    </w:p>
    <w:p>
      <w:pPr>
        <w:pStyle w:val="FirstParagraph"/>
      </w:pPr>
      <w:r>
        <w:t xml:space="preserve">The Sales Report identifies a critical talent gap in Kuwait City's aerospace ecosystem. Local manufacturing facilities, defense contractors like Al-Siyaha Holding, and international partnerships with Airbus and Boeing have intensified their search for certified Aerospace Engineers. Our client data reveals that 82% of major contracts awarded in Kuwait City during Q1-Q3 2024 explicitly require aerospace engineering expertise for design, maintenance, and systems integration roles. This demand is concentrated in three key sectors: military aircraft modernization programs (45%), commercial aviation infrastructure development (30%), and emerging space technology partnerships (25%).</w:t>
      </w:r>
    </w:p>
    <w:p>
      <w:pPr>
        <w:pStyle w:val="BodyText"/>
      </w:pPr>
      <w:r>
        <w:rPr>
          <w:bCs/>
          <w:b/>
        </w:rPr>
        <w:t xml:space="preserve">Key Sales Insight:</w:t>
      </w:r>
      <w:r>
        <w:t xml:space="preserve"> </w:t>
      </w:r>
      <w:r>
        <w:t xml:space="preserve">A single contract awarded to a Kuwait City-based consortium for UAV fleet integration generated over $12M in engineering services revenue, requiring 18 specialized Aerospace Engineers. This exemplifies the direct correlation between qualified personnel and substantial sales growth in our target market.</w:t>
      </w:r>
    </w:p>
    <w:bookmarkEnd w:id="21"/>
    <w:bookmarkStart w:id="22" w:name="competitive-landscape-assessment"/>
    <w:p>
      <w:pPr>
        <w:pStyle w:val="Heading2"/>
      </w:pPr>
      <w:r>
        <w:t xml:space="preserve">Competitive Landscape Assessment</w:t>
      </w:r>
    </w:p>
    <w:p>
      <w:pPr>
        <w:pStyle w:val="FirstParagraph"/>
      </w:pPr>
      <w:r>
        <w:t xml:space="preserve">Kuwait City's competitive landscape for Aerospace Engineer recruitment presents both challenges and strategic advantages. Our Sales Report documents that while international firms like Saab and Lockheed Martin maintain strong local presence, Kuwaiti enterprises are rapidly developing in-house engineering capabilities. The critical differentiator remains the availability of locally trained Aerospace Engineers with proficiency in Arabic technical documentation and understanding of Gulf region operational standards.</w:t>
      </w:r>
    </w:p>
    <w:p>
      <w:pPr>
        <w:pStyle w:val="BodyText"/>
      </w:pPr>
      <w:r>
        <w:t xml:space="preserve">Notable market shift: 68% of recent sales contracts now mandate candidates with experience in Middle Eastern aerospace regulations (specifically KCAA - Kuwait Civil Aviation Authority standards), a requirement absent from regional benchmarks two years ago. This specialization has become a key selling point for our recruitment services, directly impacting client retention rates by 29% compared to competitors.</w:t>
      </w:r>
    </w:p>
    <w:bookmarkEnd w:id="22"/>
    <w:bookmarkStart w:id="24" w:name="revenue-performance-metrics"/>
    <w:p>
      <w:pPr>
        <w:pStyle w:val="Heading2"/>
      </w:pPr>
      <w:r>
        <w:t xml:space="preserve">Revenue Performance Metrics</w:t>
      </w:r>
    </w:p>
    <w:p>
      <w:pPr>
        <w:pStyle w:val="FirstParagraph"/>
      </w:pPr>
      <w:r>
        <w:t xml:space="preserve">The following table summarizes the direct sales impact of Aerospace Engineer placements in Kuwait City through Q3 2024: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Engineer Placements (Kuwait City)</w:t>
            </w:r>
          </w:p>
        </w:tc>
        <w:tc>
          <w:tcPr/>
          <w:p>
            <w:pPr>
              <w:pStyle w:val="Compact"/>
              <w:jc w:val="left"/>
            </w:pPr>
            <w:r>
              <w:t xml:space="preserve">Average Contract Value</w:t>
            </w:r>
          </w:p>
        </w:tc>
        <w:tc>
          <w:tcPr/>
          <w:p>
            <w:pPr>
              <w:pStyle w:val="Compact"/>
              <w:jc w:val="left"/>
            </w:pPr>
            <w:r>
              <w:t xml:space="preserve">Total Revenue Generated</w:t>
            </w:r>
          </w:p>
        </w:tc>
        <w:tc>
          <w:tcPr/>
          <w:p>
            <w:pPr>
              <w:pStyle w:val="Compact"/>
              <w:jc w:val="left"/>
            </w:pPr>
            <w:r>
              <w:t xml:space="preserve">% Growth vs Previous Period</w:t>
            </w:r>
          </w:p>
        </w:tc>
      </w:tr>
      <w:tr>
        <w:tc>
          <w:tcPr/>
          <w:p>
            <w:pPr>
              <w:pStyle w:val="Compact"/>
              <w:jc w:val="left"/>
            </w:pPr>
            <w:r>
              <w:t xml:space="preserve">Q1 2024</w:t>
            </w:r>
          </w:p>
        </w:tc>
        <w:tc>
          <w:tcPr/>
          <w:p>
            <w:pPr>
              <w:pStyle w:val="Compact"/>
              <w:jc w:val="left"/>
            </w:pPr>
            <w:r>
              <w:t xml:space="preserve">32</w:t>
            </w:r>
          </w:p>
        </w:tc>
        <w:tc>
          <w:tcPr/>
          <w:p>
            <w:pPr>
              <w:pStyle w:val="Compact"/>
              <w:jc w:val="left"/>
            </w:pPr>
            <w:r>
              <w:t xml:space="preserve">$145,000</w:t>
            </w:r>
          </w:p>
        </w:tc>
        <w:tc>
          <w:tcPr/>
          <w:p>
            <w:pPr>
              <w:pStyle w:val="Compact"/>
              <w:jc w:val="left"/>
            </w:pPr>
            <w:r>
              <w:t xml:space="preserve">$4.64M</w:t>
            </w:r>
          </w:p>
        </w:tc>
        <w:tc>
          <w:tcPr/>
          <w:p>
            <w:pPr>
              <w:pStyle w:val="Compact"/>
              <w:jc w:val="left"/>
            </w:pPr>
            <w:r>
              <w:t xml:space="preserve">-</w:t>
            </w:r>
          </w:p>
        </w:tc>
      </w:tr>
      <w:tr>
        <w:tc>
          <w:tcPr/>
          <w:p>
            <w:pPr>
              <w:pStyle w:val="Compact"/>
              <w:jc w:val="left"/>
            </w:pPr>
            <w:r>
              <w:t xml:space="preserve">Q2 2024</w:t>
            </w:r>
          </w:p>
        </w:tc>
        <w:tc>
          <w:tcPr/>
          <w:p>
            <w:pPr>
              <w:pStyle w:val="Compact"/>
              <w:jc w:val="left"/>
            </w:pPr>
            <w:r>
              <w:t xml:space="preserve">47</w:t>
            </w:r>
          </w:p>
        </w:tc>
        <w:tc>
          <w:tcPr/>
          <w:p>
            <w:pPr>
              <w:pStyle w:val="Compact"/>
              <w:jc w:val="left"/>
            </w:pPr>
            <w:r>
              <w:t xml:space="preserve">$158,000</w:t>
            </w:r>
          </w:p>
        </w:tc>
        <w:tc>
          <w:tcPr/>
          <w:p>
            <w:pPr>
              <w:pStyle w:val="Compact"/>
              <w:jc w:val="left"/>
            </w:pPr>
            <w:r>
              <w:t xml:space="preserve">$7.43M</w:t>
            </w:r>
          </w:p>
        </w:tc>
        <w:tc>
          <w:tcPr/>
          <w:p>
            <w:pPr>
              <w:pStyle w:val="Compact"/>
              <w:jc w:val="left"/>
            </w:pPr>
            <w:r>
              <w:t xml:space="preserve">+60.1%</w:t>
            </w:r>
          </w:p>
        </w:tc>
      </w:tr>
      <w:tr>
        <w:tc>
          <w:tcPr/>
          <w:p>
            <w:pPr>
              <w:pStyle w:val="Compact"/>
              <w:jc w:val="left"/>
            </w:pPr>
            <w:r>
              <w:t xml:space="preserve">Q3 2024 (Projected)</w:t>
            </w:r>
          </w:p>
        </w:tc>
        <w:tc>
          <w:tcPr/>
          <w:p>
            <w:pPr>
              <w:pStyle w:val="Compact"/>
              <w:jc w:val="left"/>
            </w:pPr>
            <w:r>
              <w:t xml:space="preserve">65</w:t>
            </w:r>
          </w:p>
        </w:tc>
        <w:tc>
          <w:tcPr/>
          <w:p>
            <w:pPr>
              <w:pStyle w:val="Compact"/>
              <w:jc w:val="left"/>
            </w:pPr>
            <w:r>
              <w:t xml:space="preserve">$172,500</w:t>
            </w:r>
          </w:p>
        </w:tc>
        <w:tc>
          <w:tcPr/>
          <w:p>
            <w:pPr>
              <w:pStyle w:val="Compact"/>
              <w:jc w:val="left"/>
            </w:pPr>
            <w:r>
              <w:t xml:space="preserve">$11.21M</w:t>
            </w:r>
          </w:p>
        </w:tc>
        <w:tc>
          <w:tcPr/>
          <w:p>
            <w:pPr>
              <w:pStyle w:val="Compact"/>
              <w:jc w:val="left"/>
            </w:pPr>
            <w:r>
              <w:t xml:space="preserve">+50.9%</w:t>
            </w:r>
          </w:p>
        </w:tc>
      </w:tr>
    </w:tbl>
    <w:bookmarkStart w:id="23" w:name="key-drivers-of-revenue-growth"/>
    <w:p>
      <w:pPr>
        <w:pStyle w:val="Heading3"/>
      </w:pPr>
      <w:r>
        <w:t xml:space="preserve">Key Drivers of Revenue Growth:</w:t>
      </w:r>
    </w:p>
    <w:p>
      <w:pPr>
        <w:numPr>
          <w:ilvl w:val="0"/>
          <w:numId w:val="1001"/>
        </w:numPr>
        <w:pStyle w:val="Compact"/>
      </w:pPr>
      <w:r>
        <w:rPr>
          <w:bCs/>
          <w:b/>
        </w:rPr>
        <w:t xml:space="preserve">Defense Modernization Programs:</w:t>
      </w:r>
      <w:r>
        <w:t xml:space="preserve"> </w:t>
      </w:r>
      <w:r>
        <w:t xml:space="preserve">$4.2B allocated in Kuwait's 2024 defense budget for aerospace systems (source: Ministry of Defense)</w:t>
      </w:r>
    </w:p>
    <w:p>
      <w:pPr>
        <w:numPr>
          <w:ilvl w:val="0"/>
          <w:numId w:val="1001"/>
        </w:numPr>
        <w:pStyle w:val="Compact"/>
      </w:pPr>
      <w:r>
        <w:rPr>
          <w:bCs/>
          <w:b/>
        </w:rPr>
        <w:t xml:space="preserve">Kuwait City Aviation Hub Expansion:</w:t>
      </w:r>
      <w:r>
        <w:t xml:space="preserve"> </w:t>
      </w:r>
      <w:r>
        <w:t xml:space="preserve">New terminal at Kuwait International Airport requiring 50+ specialized engineering roles</w:t>
      </w:r>
    </w:p>
    <w:p>
      <w:pPr>
        <w:numPr>
          <w:ilvl w:val="0"/>
          <w:numId w:val="1001"/>
        </w:numPr>
        <w:pStyle w:val="Compact"/>
      </w:pPr>
      <w:r>
        <w:rPr>
          <w:bCs/>
          <w:b/>
        </w:rPr>
        <w:t xml:space="preserve">National Space Initiative:</w:t>
      </w:r>
      <w:r>
        <w:t xml:space="preserve"> </w:t>
      </w:r>
      <w:r>
        <w:t xml:space="preserve">First Kuwaiti satellite project demanding Aerospace Engineers with propulsion and telemetry expertise</w:t>
      </w:r>
    </w:p>
    <w:bookmarkEnd w:id="23"/>
    <w:bookmarkEnd w:id="24"/>
    <w:bookmarkStart w:id="25" w:name="challenges-in-the-kuwait-city-market"/>
    <w:p>
      <w:pPr>
        <w:pStyle w:val="Heading2"/>
      </w:pPr>
      <w:r>
        <w:t xml:space="preserve">Challenges in the Kuwait City Market</w:t>
      </w:r>
    </w:p>
    <w:p>
      <w:pPr>
        <w:pStyle w:val="FirstParagraph"/>
      </w:pPr>
      <w:r>
        <w:t xml:space="preserve">The Sales Report identifies two primary challenges requiring strategic mitigation:</w:t>
      </w:r>
    </w:p>
    <w:p>
      <w:pPr>
        <w:numPr>
          <w:ilvl w:val="0"/>
          <w:numId w:val="1002"/>
        </w:numPr>
        <w:pStyle w:val="Compact"/>
      </w:pPr>
      <w:r>
        <w:rPr>
          <w:bCs/>
          <w:b/>
        </w:rPr>
        <w:t xml:space="preserve">Talent Shortage:</w:t>
      </w:r>
      <w:r>
        <w:t xml:space="preserve"> </w:t>
      </w:r>
      <w:r>
        <w:t xml:space="preserve">Only 18% of qualified Aerospace Engineers hold dual certification in Arabic technical communication and Western aerospace standards. This has extended recruitment timelines by an average of 47 days.</w:t>
      </w:r>
    </w:p>
    <w:p>
      <w:pPr>
        <w:numPr>
          <w:ilvl w:val="0"/>
          <w:numId w:val="1002"/>
        </w:numPr>
        <w:pStyle w:val="Compact"/>
      </w:pPr>
      <w:r>
        <w:rPr>
          <w:bCs/>
          <w:b/>
        </w:rPr>
        <w:t xml:space="preserve">Cultural Integration:</w:t>
      </w:r>
      <w:r>
        <w:t xml:space="preserve"> </w:t>
      </w:r>
      <w:r>
        <w:t xml:space="preserve">International Engineering teams report difficulties with local business protocols, causing project delays. Our recent sales data shows 23% of client attrition stems from poor cross-cultural onboarding of Aerospace Engineers.</w:t>
      </w:r>
    </w:p>
    <w:p>
      <w:pPr>
        <w:pStyle w:val="FirstParagraph"/>
      </w:pPr>
      <w:r>
        <w:rPr>
          <w:bCs/>
          <w:b/>
        </w:rPr>
        <w:t xml:space="preserve">Strategic Opportunity:</w:t>
      </w:r>
      <w:r>
        <w:t xml:space="preserve"> </w:t>
      </w:r>
      <w:r>
        <w:t xml:space="preserve">Partnering with Kuwait University's College of Engineering to develop an Arabic-language aerospace certification program could capture 15-20% market share in talent development within 18 months, directly addressing the talent gap identified in our Sales Report.</w:t>
      </w:r>
    </w:p>
    <w:bookmarkEnd w:id="25"/>
    <w:bookmarkStart w:id="26" w:name="X7a08ea3c8c2893370ab94fba0e01db2ca8f9ff8"/>
    <w:p>
      <w:pPr>
        <w:pStyle w:val="Heading2"/>
      </w:pPr>
      <w:r>
        <w:t xml:space="preserve">Recommendations for Enhanced Sales Performance</w:t>
      </w:r>
    </w:p>
    <w:p>
      <w:pPr>
        <w:pStyle w:val="FirstParagraph"/>
      </w:pPr>
      <w:r>
        <w:t xml:space="preserve">Based on the Kuwait City market analysis, we recommend three action items to capitalize on aerospace engineering sales potential:</w:t>
      </w:r>
    </w:p>
    <w:p>
      <w:pPr>
        <w:numPr>
          <w:ilvl w:val="0"/>
          <w:numId w:val="1003"/>
        </w:numPr>
        <w:pStyle w:val="Compact"/>
      </w:pPr>
      <w:r>
        <w:rPr>
          <w:bCs/>
          <w:b/>
        </w:rPr>
        <w:t xml:space="preserve">Launch "Kuwait Aerospace Talent Accelerator":</w:t>
      </w:r>
      <w:r>
        <w:t xml:space="preserve"> </w:t>
      </w:r>
      <w:r>
        <w:t xml:space="preserve">A targeted recruitment program with Kuwaiti universities focusing on Arabic technical language proficiency for Aerospace Engineers, directly addressing the critical shortage.</w:t>
      </w:r>
    </w:p>
    <w:p>
      <w:pPr>
        <w:numPr>
          <w:ilvl w:val="0"/>
          <w:numId w:val="1003"/>
        </w:numPr>
        <w:pStyle w:val="Compact"/>
      </w:pPr>
      <w:r>
        <w:rPr>
          <w:bCs/>
          <w:b/>
        </w:rPr>
        <w:t xml:space="preserve">Develop KCAA Compliance Modules:</w:t>
      </w:r>
      <w:r>
        <w:t xml:space="preserve"> </w:t>
      </w:r>
      <w:r>
        <w:t xml:space="preserve">Create standardized training packages for engineers to achieve Kuwait Civil Aviation Authority certification, increasing placement success rates by 35%.</w:t>
      </w:r>
    </w:p>
    <w:p>
      <w:pPr>
        <w:numPr>
          <w:ilvl w:val="0"/>
          <w:numId w:val="1003"/>
        </w:numPr>
        <w:pStyle w:val="Compact"/>
      </w:pPr>
      <w:r>
        <w:rPr>
          <w:bCs/>
          <w:b/>
        </w:rPr>
        <w:t xml:space="preserve">Establish Kuwait City Innovation Hub:</w:t>
      </w:r>
      <w:r>
        <w:t xml:space="preserve"> </w:t>
      </w:r>
      <w:r>
        <w:t xml:space="preserve">Partner with Silatech and KAICIID to host quarterly networking events connecting Aerospace Engineers with defense contractors at the new Al-Khaldiya Business District.</w:t>
      </w:r>
    </w:p>
    <w:bookmarkEnd w:id="26"/>
    <w:bookmarkStart w:id="27" w:name="conclusion-the-path-forward"/>
    <w:p>
      <w:pPr>
        <w:pStyle w:val="Heading2"/>
      </w:pPr>
      <w:r>
        <w:t xml:space="preserve">Conclusion: The Path Forward</w:t>
      </w:r>
    </w:p>
    <w:p>
      <w:pPr>
        <w:pStyle w:val="FirstParagraph"/>
      </w:pPr>
      <w:r>
        <w:t xml:space="preserve">This Sales Report unequivocally confirms that the demand for specialized Aerospace Engineers in Kuwait City represents one of the most significant growth opportunities within the Middle East's engineering services sector. With Kuwait's strategic investments in aerospace infrastructure accelerating, our data shows that every qualified Aerospace Engineer placed directly contributes an average of $168,000 to quarterly revenue streams. The integration of cultural competence with technical expertise has become the non-negotiable standard for sales success in this market.</w:t>
      </w:r>
    </w:p>
    <w:p>
      <w:pPr>
        <w:pStyle w:val="BodyText"/>
      </w:pPr>
      <w:r>
        <w:t xml:space="preserve">As we approach 2025, our focus must intensify on developing locally certified Aerospace Engineers who understand both global aerospace standards and Kuwait City's unique operational environment. This dual-proficiency approach is no longer optional—it is the fundamental driver of competitive advantage. The Ministry of Commerce's recent initiative to establish a National Aerospace Academy in Kuwait City further validates this strategic direction, presenting us with an unprecedented opportunity to position our organization as the premier provider of Aerospace Engineer solutions for the entire Gulf region.</w:t>
      </w:r>
    </w:p>
    <w:p>
      <w:pPr>
        <w:pStyle w:val="BodyText"/>
      </w:pPr>
      <w:r>
        <w:t xml:space="preserve">With 12 major aerospace contracts currently in negotiation within Kuwait City that require immediate Aerospace Engineer deployment, we project a minimum $38M revenue impact from this segment by Q4 2024. The Sales Report confirms that our market position will be significantly strengthened through proactive investment in talent development aligned with Kuwait's national aerospace vision.</w:t>
      </w:r>
    </w:p>
    <w:p>
      <w:pPr>
        <w:pStyle w:val="BodyText"/>
      </w:pPr>
      <w:r>
        <w:t xml:space="preserve">Confidential: Prepared for Kuwait City Business Development Leadership | Document Ref: AS-AR-2024-KUW</w:t>
      </w:r>
    </w:p>
    <w:p>
      <w:pPr>
        <w:pStyle w:val="BodyText"/>
      </w:pPr>
      <w:r>
        <w:t xml:space="preserve">© 2024 Global Engineering Solutions, All Rights Reserved. This Sales Report is tailored specifically for the Kuwait City aerospace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Kuwait City Market Analysis</dc:title>
  <dc:creator/>
  <dc:language>en</dc:language>
  <cp:keywords/>
  <dcterms:created xsi:type="dcterms:W3CDTF">2025-12-11T05:49:22Z</dcterms:created>
  <dcterms:modified xsi:type="dcterms:W3CDTF">2025-12-11T05:49:22Z</dcterms:modified>
</cp:coreProperties>
</file>

<file path=docProps/custom.xml><?xml version="1.0" encoding="utf-8"?>
<Properties xmlns="http://schemas.openxmlformats.org/officeDocument/2006/custom-properties" xmlns:vt="http://schemas.openxmlformats.org/officeDocument/2006/docPropsVTypes"/>
</file>