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&amp;</w:t>
      </w:r>
      <w:r>
        <w:t xml:space="preserve"> </w:t>
      </w:r>
      <w:r>
        <w:t xml:space="preserve">Market</w:t>
      </w:r>
      <w:r>
        <w:t xml:space="preserve"> </w:t>
      </w:r>
      <w:r>
        <w:t xml:space="preserve">Dynamics</w:t>
      </w:r>
      <w:r>
        <w:t xml:space="preserve"> </w:t>
      </w:r>
      <w:r>
        <w:t xml:space="preserve">in</w:t>
      </w:r>
      <w:r>
        <w:t xml:space="preserve"> </w:t>
      </w:r>
      <w:r>
        <w:t xml:space="preserve">Russia,</w:t>
      </w:r>
      <w:r>
        <w:t xml:space="preserve"> </w:t>
      </w:r>
      <w:r>
        <w:t xml:space="preserve">Moscow</w:t>
      </w:r>
    </w:p>
    <w:bookmarkStart w:id="27" w:name="X7eeeead1488ee1b88e85561e28792da2273c155"/>
    <w:p>
      <w:pPr>
        <w:pStyle w:val="Heading1"/>
      </w:pPr>
      <w:r>
        <w:t xml:space="preserve">Sales Report: Strategic Analysis of Aerospace Engineering Services and Talent Acquisition in Russia, Moscow (Q3 2023)</w:t>
      </w:r>
    </w:p>
    <w:bookmarkStart w:id="20" w:name="executive-summary"/>
    <w:p>
      <w:pPr>
        <w:pStyle w:val="Heading2"/>
      </w:pPr>
      <w:r>
        <w:t xml:space="preserve">Executive Summary</w:t>
      </w:r>
    </w:p>
    <w:p>
      <w:pPr>
        <w:pStyle w:val="FirstParagraph"/>
      </w:pPr>
      <w:r>
        <w:t xml:space="preserve">This comprehensive Sales Report details the current market performance, strategic opportunities, and talent dynamics for Aerospace Engineering services within the Russian aerospace sector, with a primary focus on Moscow as the central hub of operations. As Russia navigates complex geopolitical landscapes and sanctions, Moscow-based aerospace firms have demonstrated resilience in securing critical domestic contracts while expanding niche export markets. This report underscores how specialized</w:t>
      </w:r>
      <w:r>
        <w:t xml:space="preserve"> </w:t>
      </w:r>
      <w:r>
        <w:rPr>
          <w:bCs/>
          <w:b/>
        </w:rPr>
        <w:t xml:space="preserve">Aerospace Engineer</w:t>
      </w:r>
      <w:r>
        <w:t xml:space="preserve"> </w:t>
      </w:r>
      <w:r>
        <w:t xml:space="preserve">talent directly drives sales success for key players such as United Aircraft Corporation (UAC), Roscosmos, and MiG Holding. The Moscow region remains pivotal to Russia's aerospace revenue stream, contributing over 65% of national export contracts in 2023.</w:t>
      </w:r>
    </w:p>
    <w:bookmarkEnd w:id="20"/>
    <w:bookmarkStart w:id="21" w:name="Xbb0933813870004e9c413fd98cc16caf23c75b5"/>
    <w:p>
      <w:pPr>
        <w:pStyle w:val="Heading2"/>
      </w:pPr>
      <w:r>
        <w:t xml:space="preserve">Market Context: Russia's Aerospace Sector in Moscow</w:t>
      </w:r>
    </w:p>
    <w:p>
      <w:pPr>
        <w:pStyle w:val="FirstParagraph"/>
      </w:pPr>
      <w:r>
        <w:t xml:space="preserve">With headquarters concentrated in Moscow, the Russian aerospace industry operates under a unique state-guided model. The city hosts the Central Design Bureau for Aviation (TsAGI), the Skolkovo Innovation Center’s aerospace cluster, and corporate headquarters of major entities like Sukhoi Civil Aircraft Company. This ecosystem generates $12.3 billion annually in domestic revenue and $4.7 billion in exports (Rosstat, Q3 2023), with Moscow serving as the primary sales and delivery nexus for international clients seeking Russian aerospace solutions.</w:t>
      </w:r>
    </w:p>
    <w:p>
      <w:pPr>
        <w:pStyle w:val="BodyText"/>
      </w:pPr>
      <w:r>
        <w:t xml:space="preserve">Key export segments driving sales include:</w:t>
      </w:r>
    </w:p>
    <w:p>
      <w:pPr>
        <w:numPr>
          <w:ilvl w:val="0"/>
          <w:numId w:val="1001"/>
        </w:numPr>
        <w:pStyle w:val="Compact"/>
      </w:pPr>
      <w:r>
        <w:t xml:space="preserve">Military aircraft (Su-57, MiG-35) – 48% of export value</w:t>
      </w:r>
    </w:p>
    <w:p>
      <w:pPr>
        <w:numPr>
          <w:ilvl w:val="0"/>
          <w:numId w:val="1001"/>
        </w:numPr>
        <w:pStyle w:val="Compact"/>
      </w:pPr>
      <w:r>
        <w:t xml:space="preserve">Space launch services (Soyuz, Angara rockets) – 29% of export value</w:t>
      </w:r>
    </w:p>
    <w:p>
      <w:pPr>
        <w:numPr>
          <w:ilvl w:val="0"/>
          <w:numId w:val="1001"/>
        </w:numPr>
        <w:pStyle w:val="Compact"/>
      </w:pPr>
      <w:r>
        <w:t xml:space="preserve">Avionics and satellite systems – 23% of export value</w:t>
      </w:r>
    </w:p>
    <w:bookmarkEnd w:id="21"/>
    <w:bookmarkStart w:id="22" w:name="X367976245ceaf0c2592009eaa6e496dd8725aca"/>
    <w:p>
      <w:pPr>
        <w:pStyle w:val="Heading2"/>
      </w:pPr>
      <w:r>
        <w:t xml:space="preserve">Sales Performance Analysis: Engineering as the Core Sales Driver</w:t>
      </w:r>
    </w:p>
    <w:p>
      <w:pPr>
        <w:pStyle w:val="FirstParagraph"/>
      </w:pPr>
      <w:r>
        <w:t xml:space="preserve">The success of every major aerospace sales contract hinges on the capabilities of Moscow-based</w:t>
      </w:r>
      <w:r>
        <w:t xml:space="preserve"> </w:t>
      </w:r>
      <w:r>
        <w:rPr>
          <w:bCs/>
          <w:b/>
        </w:rPr>
        <w:t xml:space="preserve">Aerospace Engineer</w:t>
      </w:r>
      <w:r>
        <w:t xml:space="preserve"> </w:t>
      </w:r>
      <w:r>
        <w:t xml:space="preserve">teams. Our analysis reveals a direct correlation between engineering innovation and sales velocity:</w:t>
      </w:r>
    </w:p>
    <w:p>
      <w:pPr>
        <w:numPr>
          <w:ilvl w:val="0"/>
          <w:numId w:val="1002"/>
        </w:numPr>
        <w:pStyle w:val="Compact"/>
      </w:pPr>
      <w:r>
        <w:rPr>
          <w:bCs/>
          <w:b/>
        </w:rPr>
        <w:t xml:space="preserve">Contract Conversion Rate:</w:t>
      </w:r>
      <w:r>
        <w:t xml:space="preserve"> </w:t>
      </w:r>
      <w:r>
        <w:t xml:space="preserve">Firms with advanced propulsion engineers in Moscow achieved 32% faster deal closure versus industry average (20% for non-specialized firms). The Su-57 fighter jet export contract to India (valued at $4.1B) was finalized within 9 months due to specialized aerodynamic engineering solutions developed by a Moscow R&amp;D team.</w:t>
      </w:r>
    </w:p>
    <w:p>
      <w:pPr>
        <w:numPr>
          <w:ilvl w:val="0"/>
          <w:numId w:val="1002"/>
        </w:numPr>
        <w:pStyle w:val="Compact"/>
      </w:pPr>
      <w:r>
        <w:rPr>
          <w:bCs/>
          <w:b/>
        </w:rPr>
        <w:t xml:space="preserve">Client Retention:</w:t>
      </w:r>
      <w:r>
        <w:t xml:space="preserve"> </w:t>
      </w:r>
      <w:r>
        <w:t xml:space="preserve">Roscosmos’ satellite launch services retain 89% of clients for repeat contracts, directly attributed to Moscow-based engineers' on-time delivery performance and technical support (vs. 67% industry average).</w:t>
      </w:r>
    </w:p>
    <w:p>
      <w:pPr>
        <w:numPr>
          <w:ilvl w:val="0"/>
          <w:numId w:val="1002"/>
        </w:numPr>
        <w:pStyle w:val="Compact"/>
      </w:pPr>
      <w:r>
        <w:rPr>
          <w:bCs/>
          <w:b/>
        </w:rPr>
        <w:t xml:space="preserve">Niche Market Expansion:</w:t>
      </w:r>
      <w:r>
        <w:t xml:space="preserve"> </w:t>
      </w:r>
      <w:r>
        <w:t xml:space="preserve">Engineers in Moscow developed the "Sputnik-2024" satellite platform, enabling a 41% revenue increase in commercial Earth observation contracts with African and Asian clients.</w:t>
      </w:r>
    </w:p>
    <w:bookmarkEnd w:id="22"/>
    <w:bookmarkStart w:id="23" w:name="X76ecdd43c12c13de3872f268b31dc04ba55ff80"/>
    <w:p>
      <w:pPr>
        <w:pStyle w:val="Heading2"/>
      </w:pPr>
      <w:r>
        <w:t xml:space="preserve">Talent Sales Strategy: Acquiring &amp; Retaining Aerospace Engineers in Moscow</w:t>
      </w:r>
    </w:p>
    <w:p>
      <w:pPr>
        <w:pStyle w:val="FirstParagraph"/>
      </w:pPr>
      <w:r>
        <w:t xml:space="preserve">As the epicenter of Russia’s aerospace innovation, Moscow faces intense competition for elite</w:t>
      </w:r>
      <w:r>
        <w:t xml:space="preserve"> </w:t>
      </w:r>
      <w:r>
        <w:rPr>
          <w:bCs/>
          <w:b/>
        </w:rPr>
        <w:t xml:space="preserve">Aerospace Engineer</w:t>
      </w:r>
      <w:r>
        <w:t xml:space="preserve"> </w:t>
      </w:r>
      <w:r>
        <w:t xml:space="preserve">talent. This directly impacts our sales pipeline. Key findings:</w:t>
      </w:r>
    </w:p>
    <w:p>
      <w:pPr>
        <w:pStyle w:val="BodyText"/>
      </w:pPr>
      <w:r>
        <w:t xml:space="preserve">Talent Metric</w:t>
      </w:r>
    </w:p>
    <w:p>
      <w:pPr>
        <w:pStyle w:val="BodyText"/>
      </w:pPr>
      <w:r>
        <w:t xml:space="preserve">2023 Moscow Average</w:t>
      </w:r>
    </w:p>
    <w:p>
      <w:pPr>
        <w:pStyle w:val="BodyText"/>
      </w:pPr>
      <w:r>
        <w:t xml:space="preserve">Top 3 Firms Performance</w:t>
      </w:r>
    </w:p>
    <w:p>
      <w:pPr>
        <w:pStyle w:val="BodyText"/>
      </w:pPr>
      <w:r>
        <w:t xml:space="preserve">Average Salary (USD)</w:t>
      </w:r>
    </w:p>
    <w:p>
      <w:pPr>
        <w:pStyle w:val="BodyText"/>
      </w:pPr>
      <w:r>
        <w:t xml:space="preserve">$58,000/year</w:t>
      </w:r>
    </w:p>
    <w:p>
      <w:pPr>
        <w:pStyle w:val="BodyText"/>
      </w:pPr>
      <w:r>
        <w:t xml:space="preserve">$74,500/year (UAC)</w:t>
      </w:r>
    </w:p>
    <w:p>
      <w:pPr>
        <w:pStyle w:val="BodyText"/>
      </w:pPr>
      <w:r>
        <w:t xml:space="preserve">Engineering Vacancy Rate</w:t>
      </w:r>
    </w:p>
    <w:p>
      <w:pPr>
        <w:pStyle w:val="BodyText"/>
      </w:pPr>
      <w:r>
        <w:t xml:space="preserve">18.7%</w:t>
      </w:r>
    </w:p>
    <w:p>
      <w:pPr>
        <w:pStyle w:val="BodyText"/>
      </w:pPr>
      <w:r>
        <w:t xml:space="preserve">9.2% (Roscosmos)</w:t>
      </w:r>
    </w:p>
    <w:p>
      <w:pPr>
        <w:pStyle w:val="BodyText"/>
      </w:pPr>
      <w:r>
        <w:t xml:space="preserve">Talent Retention Rate</w:t>
      </w:r>
    </w:p>
    <w:p>
      <w:pPr>
        <w:pStyle w:val="BodyText"/>
      </w:pPr>
      <w:r>
        <w:t xml:space="preserve">(after 3 years)</w:t>
      </w:r>
    </w:p>
    <w:p>
      <w:pPr>
        <w:pStyle w:val="BodyText"/>
      </w:pPr>
      <w:r>
        <w:t xml:space="preserve">62%</w:t>
      </w:r>
    </w:p>
    <w:p>
      <w:pPr>
        <w:pStyle w:val="BodyText"/>
      </w:pPr>
      <w:r>
        <w:t xml:space="preserve">Sales Impact of Talent Acquisition</w:t>
      </w:r>
    </w:p>
    <w:p>
      <w:pPr>
        <w:pStyle w:val="BodyText"/>
      </w:pPr>
      <w:r>
        <w:t xml:space="preserve">Our strategic initiative "Project Sputnik" – focused on upskilling Moscow-based engineers in AI-driven propulsion systems – directly contributed to a $280M increase in contract value with European energy-sector clients (post-sanctions market adaptation). Conversely, firms failing to invest in engineering talent development reported 30% higher sales pipeline attrition.</w:t>
      </w:r>
    </w:p>
    <w:bookmarkEnd w:id="23"/>
    <w:bookmarkStart w:id="24" w:name="Xbdb5391c21c2f367993329dfb6b70249053328e"/>
    <w:p>
      <w:pPr>
        <w:pStyle w:val="Heading2"/>
      </w:pPr>
      <w:r>
        <w:t xml:space="preserve">Regional Sales Challenges &amp; Opportunities in Moscow</w:t>
      </w:r>
    </w:p>
    <w:p>
      <w:pPr>
        <w:pStyle w:val="FirstParagraph"/>
      </w:pPr>
      <w:r>
        <w:t xml:space="preserve">While Moscow dominates the aerospace market, three critical challenges affect sales performance:</w:t>
      </w:r>
    </w:p>
    <w:p>
      <w:pPr>
        <w:numPr>
          <w:ilvl w:val="0"/>
          <w:numId w:val="1003"/>
        </w:numPr>
        <w:pStyle w:val="Compact"/>
      </w:pPr>
      <w:r>
        <w:rPr>
          <w:bCs/>
          <w:b/>
        </w:rPr>
        <w:t xml:space="preserve">Sanction-Driven Supply Chain Gaps:</w:t>
      </w:r>
      <w:r>
        <w:t xml:space="preserve"> </w:t>
      </w:r>
      <w:r>
        <w:t xml:space="preserve">Limited access to Western avionics components forces engineers to develop domestic alternatives, extending project timelines by 15-20%. Sales teams in Moscow mitigate this by emphasizing engineering ingenuity during client negotiations (e.g., "Our engineers developed a Russian-made radar system that outperforms imported counterparts").</w:t>
      </w:r>
    </w:p>
    <w:p>
      <w:pPr>
        <w:numPr>
          <w:ilvl w:val="0"/>
          <w:numId w:val="1003"/>
        </w:numPr>
        <w:pStyle w:val="Compact"/>
      </w:pPr>
      <w:r>
        <w:rPr>
          <w:bCs/>
          <w:b/>
        </w:rPr>
        <w:t xml:space="preserve">Regulatory Hurdles:</w:t>
      </w:r>
      <w:r>
        <w:t xml:space="preserve"> </w:t>
      </w:r>
      <w:r>
        <w:t xml:space="preserve">Export licensing delays for military contracts average 11 weeks. Moscow-based sales engineers collaborate with legal teams to pre-emptively address regulatory requirements, shortening deal cycles by 28%.</w:t>
      </w:r>
    </w:p>
    <w:p>
      <w:pPr>
        <w:numPr>
          <w:ilvl w:val="0"/>
          <w:numId w:val="1003"/>
        </w:numPr>
        <w:pStyle w:val="Compact"/>
      </w:pPr>
      <w:r>
        <w:rPr>
          <w:bCs/>
          <w:b/>
        </w:rPr>
        <w:t xml:space="preserve">Talent Competition:</w:t>
      </w:r>
      <w:r>
        <w:t xml:space="preserve"> </w:t>
      </w:r>
      <w:r>
        <w:t xml:space="preserve">Foreign firms (e.g., Turkish Aerospace) actively poaching Moscow engineers through remote work offers. Our solution: "Project Horizon" provides competitive housing subsidies and accelerated promotion paths for critical roles.</w:t>
      </w:r>
    </w:p>
    <w:bookmarkEnd w:id="24"/>
    <w:bookmarkStart w:id="25" w:name="Xeff0005f4155a69d2b5698936e6cf8d8dd9ab43"/>
    <w:p>
      <w:pPr>
        <w:pStyle w:val="Heading2"/>
      </w:pPr>
      <w:r>
        <w:t xml:space="preserve">Strategic Recommendations for Sales Growth in Moscow</w:t>
      </w:r>
    </w:p>
    <w:p>
      <w:pPr>
        <w:pStyle w:val="FirstParagraph"/>
      </w:pPr>
      <w:r>
        <w:t xml:space="preserve">To capitalize on Russia's aerospace market position, we recommend:</w:t>
      </w:r>
    </w:p>
    <w:p>
      <w:pPr>
        <w:numPr>
          <w:ilvl w:val="0"/>
          <w:numId w:val="1004"/>
        </w:numPr>
        <w:pStyle w:val="Compact"/>
      </w:pPr>
      <w:r>
        <w:rPr>
          <w:bCs/>
          <w:b/>
        </w:rPr>
        <w:t xml:space="preserve">Engineer-Centric Sales Training:</w:t>
      </w:r>
      <w:r>
        <w:t xml:space="preserve"> </w:t>
      </w:r>
      <w:r>
        <w:t xml:space="preserve">Equip all sales personnel with technical literacy to discuss engineering solutions (e.g., propulsion efficiency metrics) – directly increasing client trust. Moscow pilot program showed 23% higher conversion rates for engineers trained in sales fundamentals.</w:t>
      </w:r>
    </w:p>
    <w:p>
      <w:pPr>
        <w:numPr>
          <w:ilvl w:val="0"/>
          <w:numId w:val="1004"/>
        </w:numPr>
        <w:pStyle w:val="Compact"/>
      </w:pPr>
      <w:r>
        <w:rPr>
          <w:bCs/>
          <w:b/>
        </w:rPr>
        <w:t xml:space="preserve">Invest in Moscow R&amp;D Hubs:</w:t>
      </w:r>
      <w:r>
        <w:t xml:space="preserve"> </w:t>
      </w:r>
      <w:r>
        <w:t xml:space="preserve">Allocate $15M to expand the Skolkovo aerospace innovation center, specifically targeting AI/ML engineering teams. This will accelerate development of next-gen satellite systems critical for the 2025 export target of $6.8B.</w:t>
      </w:r>
    </w:p>
    <w:p>
      <w:pPr>
        <w:numPr>
          <w:ilvl w:val="0"/>
          <w:numId w:val="1004"/>
        </w:numPr>
        <w:pStyle w:val="Compact"/>
      </w:pPr>
      <w:r>
        <w:rPr>
          <w:bCs/>
          <w:b/>
        </w:rPr>
        <w:t xml:space="preserve">Talent Acquisition Partnerships:</w:t>
      </w:r>
      <w:r>
        <w:t xml:space="preserve"> </w:t>
      </w:r>
      <w:r>
        <w:t xml:space="preserve">Forge university partnerships with Moscow Aviation Institute (MAI) and Bauman Moscow State Technical University to create "Sales-Engineering Pipeline" programs, ensuring a steady talent pipeline for sales-driven engineering roles.</w:t>
      </w:r>
    </w:p>
    <w:bookmarkEnd w:id="25"/>
    <w:bookmarkStart w:id="26" w:name="X296c8086f4e1828ce0050069a4f0e5b3223f28a"/>
    <w:p>
      <w:pPr>
        <w:pStyle w:val="Heading2"/>
      </w:pPr>
      <w:r>
        <w:t xml:space="preserve">Conclusion: Engineering Excellence as the Sales Engine</w:t>
      </w:r>
    </w:p>
    <w:p>
      <w:pPr>
        <w:pStyle w:val="FirstParagraph"/>
      </w:pPr>
      <w:r>
        <w:t xml:space="preserve">In the Russia, Moscow aerospace market, success is not merely about closing deals – it is about selling engineering excellence. The world’s most complex aerospace contracts are won through the demonstrated capability of Moscow-based</w:t>
      </w:r>
      <w:r>
        <w:t xml:space="preserve"> </w:t>
      </w:r>
      <w:r>
        <w:rPr>
          <w:bCs/>
          <w:b/>
        </w:rPr>
        <w:t xml:space="preserve">Aerospace Engineer</w:t>
      </w:r>
      <w:r>
        <w:t xml:space="preserve"> </w:t>
      </w:r>
      <w:r>
        <w:t xml:space="preserve">teams. As sanctions reshape global supply chains, our competitive advantage lies in leveraging this local talent ecosystem to deliver unmatched technical solutions that drive revenue growth. With 68% of all Russian aerospace sales originating from Moscow operations (per our internal sales data), prioritizing engineering talent development and technical sales enablement is non-negotiable for sustainable market leadership.</w:t>
      </w:r>
    </w:p>
    <w:p>
      <w:pPr>
        <w:pStyle w:val="BodyText"/>
      </w:pPr>
      <w:r>
        <w:rPr>
          <w:iCs/>
          <w:i/>
        </w:rPr>
        <w:t xml:space="preserve">Prepared for the Executive Board, Aerospace Division | October 26, 2023 | Moscow, Russia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Talent &amp; Market Dynamics in Russia, Moscow</dc:title>
  <dc:creator/>
  <cp:keywords/>
  <dcterms:created xsi:type="dcterms:W3CDTF">2026-07-23T07:44:37Z</dcterms:created>
  <dcterms:modified xsi:type="dcterms:W3CDTF">2026-07-23T07:44:37Z</dcterms:modified>
</cp:coreProperties>
</file>

<file path=docProps/custom.xml><?xml version="1.0" encoding="utf-8"?>
<Properties xmlns="http://schemas.openxmlformats.org/officeDocument/2006/custom-properties" xmlns:vt="http://schemas.openxmlformats.org/officeDocument/2006/docPropsVTypes"/>
</file>