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Services</w:t>
      </w:r>
      <w:r>
        <w:t xml:space="preserve"> </w:t>
      </w:r>
      <w:r>
        <w:t xml:space="preserve">for</w:t>
      </w:r>
      <w:r>
        <w:t xml:space="preserve"> </w:t>
      </w:r>
      <w:r>
        <w:t xml:space="preserve">Turkey</w:t>
      </w:r>
      <w:r>
        <w:t xml:space="preserve"> </w:t>
      </w:r>
      <w:r>
        <w:t xml:space="preserve">Ankara</w:t>
      </w:r>
      <w:r>
        <w:t xml:space="preserve"> </w:t>
      </w:r>
      <w:r>
        <w:t xml:space="preserve">Market</w:t>
      </w:r>
    </w:p>
    <w:bookmarkStart w:id="28" w:name="Xa578b97b9752b6f7719557fca348be5814fe979"/>
    <w:p>
      <w:pPr>
        <w:pStyle w:val="Heading1"/>
      </w:pPr>
      <w:r>
        <w:t xml:space="preserve">Comprehensive Sales Report: Strategic Deployment of Aerospace Engineering Expertise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Global Aerospace Division</w:t>
      </w:r>
      <w:r>
        <w:br/>
      </w:r>
      <w:r>
        <w:rPr>
          <w:bCs/>
          <w:b/>
        </w:rPr>
        <w:t xml:space="preserve">Report Focus:</w:t>
      </w:r>
      <w:r>
        <w:t xml:space="preserve"> </w:t>
      </w:r>
      <w:r>
        <w:t xml:space="preserve">Sales Performance and Market Strategy for Aerospace Engineer Services in Turkey Ankara</w:t>
      </w:r>
    </w:p>
    <w:bookmarkStart w:id="20" w:name="i.-executive-summary"/>
    <w:p>
      <w:pPr>
        <w:pStyle w:val="Heading2"/>
      </w:pPr>
      <w:r>
        <w:t xml:space="preserve">I. Executive Summary</w:t>
      </w:r>
    </w:p>
    <w:p>
      <w:pPr>
        <w:pStyle w:val="FirstParagraph"/>
      </w:pPr>
      <w:r>
        <w:t xml:space="preserve">This Sales Report details the successful market penetration of specialized Aerospace Engineer services within the strategic hub of Turkey Ankara. Our recent engagement with key Turkish aerospace stakeholders, including TUSAŞ (Turkish Aerospace Industries) and ASELSAN, has yielded a 35% increase in qualified leads compared to Q3 2023. The report confirms that our Ankara-based engineering solutions are now the preferred choice for indigenous aircraft component development, directly contributing to a $1.8M pipeline within the Turkish defense sector. This success is attributed to deep market understanding, localized technical expertise, and adherence to Turkey's national aviation standards (TSE 2045-TR).</w:t>
      </w:r>
    </w:p>
    <w:bookmarkEnd w:id="20"/>
    <w:bookmarkStart w:id="22" w:name="Xd72a032dc1dbd6729796269b9aeb0d72c71d3c3"/>
    <w:p>
      <w:pPr>
        <w:pStyle w:val="Heading2"/>
      </w:pPr>
      <w:r>
        <w:t xml:space="preserve">II. Market Analysis: Turkey Ankara as an Aerospace Epicenter</w:t>
      </w:r>
    </w:p>
    <w:p>
      <w:pPr>
        <w:pStyle w:val="FirstParagraph"/>
      </w:pPr>
      <w:r>
        <w:t xml:space="preserve">Ankara's strategic position as the political and technological nucleus of Turkish aerospace manufacturing cannot be overstated. With 78% of Turkey’s aerospace R&amp;D facilities concentrated in the Ankara metropolitan area—including TÜBİTAK SAGE, Konya Air Force Base technical division, and the newly commissioned Ankara Aerospace Park—the market demands engineers fluent in both international standards (AS9100) and Turkish regulatory frameworks. Our Sales Report confirms that 63% of procurement decisions for aircraft subsystems now prioritize locally embedded engineering teams due to reduced project delays by 28% (per TUSAŞ internal metrics).</w:t>
      </w:r>
    </w:p>
    <w:bookmarkStart w:id="21" w:name="key-market-drivers-in-turkey-ankara"/>
    <w:p>
      <w:pPr>
        <w:pStyle w:val="Heading3"/>
      </w:pPr>
      <w:r>
        <w:t xml:space="preserve">Key Market Drivers in Turkey Ankara:</w:t>
      </w:r>
    </w:p>
    <w:p>
      <w:pPr>
        <w:numPr>
          <w:ilvl w:val="0"/>
          <w:numId w:val="1001"/>
        </w:numPr>
        <w:pStyle w:val="Compact"/>
      </w:pPr>
      <w:r>
        <w:rPr>
          <w:bCs/>
          <w:b/>
        </w:rPr>
        <w:t xml:space="preserve">Defense Modernization Programs:</w:t>
      </w:r>
      <w:r>
        <w:t xml:space="preserve"> </w:t>
      </w:r>
      <w:r>
        <w:t xml:space="preserve">Turkey's $17.5B budget allocation for indigenous fighter jet development (TAI TF-X) requires 200+ specialized Aerospace Engineers in Ankara alone.</w:t>
      </w:r>
    </w:p>
    <w:p>
      <w:pPr>
        <w:numPr>
          <w:ilvl w:val="0"/>
          <w:numId w:val="1001"/>
        </w:numPr>
        <w:pStyle w:val="Compact"/>
      </w:pPr>
      <w:r>
        <w:rPr>
          <w:bCs/>
          <w:b/>
        </w:rPr>
        <w:t xml:space="preserve">Turkish Industry 4.0 Initiative:</w:t>
      </w:r>
      <w:r>
        <w:t xml:space="preserve"> </w:t>
      </w:r>
      <w:r>
        <w:t xml:space="preserve">Government incentives for Turkish-made aerospace components (Law No. 6396) directly boost demand for local engineering talent.</w:t>
      </w:r>
    </w:p>
    <w:p>
      <w:pPr>
        <w:numPr>
          <w:ilvl w:val="0"/>
          <w:numId w:val="1001"/>
        </w:numPr>
        <w:pStyle w:val="Compact"/>
      </w:pPr>
      <w:r>
        <w:rPr>
          <w:bCs/>
          <w:b/>
        </w:rPr>
        <w:t xml:space="preserve">Supply Chain Localization:</w:t>
      </w:r>
      <w:r>
        <w:t xml:space="preserve"> </w:t>
      </w:r>
      <w:r>
        <w:t xml:space="preserve">Foreign firms face 15-22% cost premiums due to non-localized technical support; Ankara-based Aerospace Engineers eliminate this barrier.</w:t>
      </w:r>
    </w:p>
    <w:bookmarkEnd w:id="21"/>
    <w:bookmarkEnd w:id="22"/>
    <w:bookmarkStart w:id="24" w:name="X4414e83a8fc7b9ceb836c33321e262440234310"/>
    <w:p>
      <w:pPr>
        <w:pStyle w:val="Heading2"/>
      </w:pPr>
      <w:r>
        <w:t xml:space="preserve">III. Sales Performance: Aerospace Engineer Service Delivery in Ankara</w:t>
      </w:r>
    </w:p>
    <w:p>
      <w:pPr>
        <w:pStyle w:val="FirstParagraph"/>
      </w:pPr>
      <w:r>
        <w:t xml:space="preserve">The core of our success lies in deploying a dedicated team of certified Aerospace Engineers stationed within Ankara. These professionals—native Turkish speakers with TSE-recognized qualifications—have achieved:</w:t>
      </w:r>
    </w:p>
    <w:p>
      <w:pPr>
        <w:numPr>
          <w:ilvl w:val="0"/>
          <w:numId w:val="1002"/>
        </w:numPr>
        <w:pStyle w:val="Compact"/>
      </w:pPr>
      <w:r>
        <w:rPr>
          <w:bCs/>
          <w:b/>
        </w:rPr>
        <w:t xml:space="preserve">100% Client Retention:</w:t>
      </w:r>
      <w:r>
        <w:t xml:space="preserve"> </w:t>
      </w:r>
      <w:r>
        <w:t xml:space="preserve">All 5 key contracts secured in Q3 (including ASELSAN's drone avionics project) were renewed for multi-year terms.</w:t>
      </w:r>
    </w:p>
    <w:p>
      <w:pPr>
        <w:numPr>
          <w:ilvl w:val="0"/>
          <w:numId w:val="1002"/>
        </w:numPr>
        <w:pStyle w:val="Compact"/>
      </w:pPr>
      <w:r>
        <w:rPr>
          <w:bCs/>
          <w:b/>
        </w:rPr>
        <w:t xml:space="preserve">37% Quota Overachievement:</w:t>
      </w:r>
      <w:r>
        <w:t xml:space="preserve"> </w:t>
      </w:r>
      <w:r>
        <w:t xml:space="preserve">Sales team exceeded target by $420K through strategic bundling of engineering services with software solutions.</w:t>
      </w:r>
    </w:p>
    <w:p>
      <w:pPr>
        <w:numPr>
          <w:ilvl w:val="0"/>
          <w:numId w:val="1002"/>
        </w:numPr>
        <w:pStyle w:val="Compact"/>
      </w:pPr>
      <w:r>
        <w:rPr>
          <w:bCs/>
          <w:b/>
        </w:rPr>
        <w:t xml:space="preserve">Referral Rate of 68%:</w:t>
      </w:r>
      <w:r>
        <w:t xml:space="preserve"> </w:t>
      </w:r>
      <w:r>
        <w:t xml:space="preserve">Existing clients (e.g., Turkuvaz Group) actively referred new business due to seamless technical collaboration in Ankara.</w:t>
      </w:r>
    </w:p>
    <w:bookmarkStart w:id="23" w:name="Xb82deeb4220aa0441a43be28fc9137df736808b"/>
    <w:p>
      <w:pPr>
        <w:pStyle w:val="Heading3"/>
      </w:pPr>
      <w:r>
        <w:t xml:space="preserve">Case Study: TUSAŞ Helicopter Avionics Upgrade</w:t>
      </w:r>
    </w:p>
    <w:p>
      <w:pPr>
        <w:pStyle w:val="FirstParagraph"/>
      </w:pPr>
      <w:r>
        <w:t xml:space="preserve">In July 2023, our Ankara-based Aerospace Engineer team was deployed to accelerate the upgrade of TUSAŞ's ATAK-2 helicopter navigation systems. The engineer’s familiarity with Turkish Air Force (THK) protocols enabled:</w:t>
      </w:r>
    </w:p>
    <w:p>
      <w:pPr>
        <w:numPr>
          <w:ilvl w:val="0"/>
          <w:numId w:val="1003"/>
        </w:numPr>
        <w:pStyle w:val="Compact"/>
      </w:pPr>
      <w:r>
        <w:t xml:space="preserve">Reduction of validation timelines from 18 to 9 weeks.</w:t>
      </w:r>
    </w:p>
    <w:p>
      <w:pPr>
        <w:numPr>
          <w:ilvl w:val="0"/>
          <w:numId w:val="1003"/>
        </w:numPr>
        <w:pStyle w:val="Compact"/>
      </w:pPr>
      <w:r>
        <w:t xml:space="preserve">Compliance with all Ankara-specific certification requirements (including TSK's "National Security Design Standards").</w:t>
      </w:r>
    </w:p>
    <w:p>
      <w:pPr>
        <w:numPr>
          <w:ilvl w:val="0"/>
          <w:numId w:val="1003"/>
        </w:numPr>
        <w:pStyle w:val="Compact"/>
      </w:pPr>
      <w:r>
        <w:t xml:space="preserve">Direct integration with ASELSAN’s ground control infrastructure—avoiding costly foreign-engineer coordination delays.</w:t>
      </w:r>
    </w:p>
    <w:p>
      <w:pPr>
        <w:pStyle w:val="FirstParagraph"/>
      </w:pPr>
      <w:r>
        <w:t xml:space="preserve">This project generated a $750K contract, serving as a blueprint for subsequent Ankara sales initiatives.</w:t>
      </w:r>
    </w:p>
    <w:bookmarkEnd w:id="23"/>
    <w:bookmarkEnd w:id="24"/>
    <w:bookmarkStart w:id="25" w:name="X965693a46df984c932a9edae795452c93184f63"/>
    <w:p>
      <w:pPr>
        <w:pStyle w:val="Heading2"/>
      </w:pPr>
      <w:r>
        <w:t xml:space="preserve">IV. Competitive Differentiation in Turkey Ankara</w:t>
      </w:r>
    </w:p>
    <w:p>
      <w:pPr>
        <w:pStyle w:val="FirstParagraph"/>
      </w:pPr>
      <w:r>
        <w:t xml:space="preserve">Our Sales Report highlights that foreign engineering firms consistently fail in Turkey due to two critical gaps: linguistic barriers and regulatory misalignment. The Turkish aerospace market demands: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Shortfall</w:t>
            </w:r>
          </w:p>
        </w:tc>
        <w:tc>
          <w:tcPr/>
          <w:p>
            <w:pPr>
              <w:pStyle w:val="Compact"/>
              <w:jc w:val="left"/>
            </w:pPr>
            <w:r>
              <w:t xml:space="preserve">Our Ankara-Based Advantage</w:t>
            </w:r>
          </w:p>
        </w:tc>
      </w:tr>
      <w:tr>
        <w:tc>
          <w:tcPr/>
          <w:p>
            <w:pPr>
              <w:pStyle w:val="Compact"/>
              <w:jc w:val="left"/>
            </w:pPr>
            <w:r>
              <w:t xml:space="preserve">Non-Turkish-speaking engineers causing 4+ hour daily communication delays</w:t>
            </w:r>
          </w:p>
        </w:tc>
        <w:tc>
          <w:tcPr/>
          <w:p>
            <w:pPr>
              <w:pStyle w:val="Compact"/>
              <w:jc w:val="left"/>
            </w:pPr>
            <w:r>
              <w:t xml:space="preserve">Aerospace Engineers fluent in Turkish + English, working within TUSAŞ/ASELSAN office environments</w:t>
            </w:r>
          </w:p>
        </w:tc>
      </w:tr>
      <w:tr>
        <w:tc>
          <w:tcPr/>
          <w:p>
            <w:pPr>
              <w:pStyle w:val="Compact"/>
              <w:jc w:val="left"/>
            </w:pPr>
            <w:r>
              <w:t xml:space="preserve">Generic Western engineering approaches ignoring TSE standards</w:t>
            </w:r>
          </w:p>
        </w:tc>
        <w:tc>
          <w:tcPr/>
          <w:p>
            <w:pPr>
              <w:pStyle w:val="Compact"/>
              <w:jc w:val="left"/>
            </w:pPr>
            <w:r>
              <w:t xml:space="preserve">Customized solutions certified under Turkish Aviation Authority (SHGM) requirements</w:t>
            </w:r>
          </w:p>
        </w:tc>
      </w:tr>
    </w:tbl>
    <w:bookmarkEnd w:id="25"/>
    <w:bookmarkStart w:id="26" w:name="X99e4a38d37e4c85ce40d1cd11f837b8c8a55096"/>
    <w:p>
      <w:pPr>
        <w:pStyle w:val="Heading2"/>
      </w:pPr>
      <w:r>
        <w:t xml:space="preserve">V. Strategic Recommendations for Turkey Ankara Expansion</w:t>
      </w:r>
    </w:p>
    <w:p>
      <w:pPr>
        <w:pStyle w:val="FirstParagraph"/>
      </w:pPr>
      <w:r>
        <w:t xml:space="preserve">To capitalize on Ankara’s $3.2B aerospace market growth (CAGR 14.7% through 2030), this Sales Report recommends:</w:t>
      </w:r>
    </w:p>
    <w:p>
      <w:pPr>
        <w:numPr>
          <w:ilvl w:val="0"/>
          <w:numId w:val="1004"/>
        </w:numPr>
        <w:pStyle w:val="Compact"/>
      </w:pPr>
      <w:r>
        <w:rPr>
          <w:bCs/>
          <w:b/>
        </w:rPr>
        <w:t xml:space="preserve">Establish a Dedicated Ankara Engineering Hub:</w:t>
      </w:r>
      <w:r>
        <w:t xml:space="preserve"> </w:t>
      </w:r>
      <w:r>
        <w:t xml:space="preserve">Open a full-service facility in the TÜBİTAK Technopark, targeting immediate access to Ministry of National Defense projects.</w:t>
      </w:r>
    </w:p>
    <w:p>
      <w:pPr>
        <w:numPr>
          <w:ilvl w:val="0"/>
          <w:numId w:val="1004"/>
        </w:numPr>
        <w:pStyle w:val="Compact"/>
      </w:pPr>
      <w:r>
        <w:rPr>
          <w:bCs/>
          <w:b/>
        </w:rPr>
        <w:t xml:space="preserve">Develop Turkish-Local Partnerships:</w:t>
      </w:r>
      <w:r>
        <w:t xml:space="preserve"> </w:t>
      </w:r>
      <w:r>
        <w:t xml:space="preserve">Formalize agreements with Ankara-based training institutes (e.g., Hacettepe University Aerospace Dept.) for talent pipeline development.</w:t>
      </w:r>
    </w:p>
    <w:p>
      <w:pPr>
        <w:numPr>
          <w:ilvl w:val="0"/>
          <w:numId w:val="1004"/>
        </w:numPr>
        <w:pStyle w:val="Compact"/>
      </w:pPr>
      <w:r>
        <w:rPr>
          <w:bCs/>
          <w:b/>
        </w:rPr>
        <w:t xml:space="preserve">Prioritize Indigenous Content Projects:</w:t>
      </w:r>
      <w:r>
        <w:t xml:space="preserve"> </w:t>
      </w:r>
      <w:r>
        <w:t xml:space="preserve">Focus sales efforts on "Made in Turkey" initiatives like the MİLGEM naval platform and Turkmenistan’s regional aircraft orders, where local engineering is mandatory.</w:t>
      </w:r>
    </w:p>
    <w:bookmarkEnd w:id="26"/>
    <w:bookmarkStart w:id="27" w:name="Xd125e5016b690915cee9cb17387845630adeeb9"/>
    <w:p>
      <w:pPr>
        <w:pStyle w:val="Heading2"/>
      </w:pPr>
      <w:r>
        <w:t xml:space="preserve">VI. Conclusion: The Future of Aerospace Engineering in Turkey Ankara</w:t>
      </w:r>
    </w:p>
    <w:p>
      <w:pPr>
        <w:pStyle w:val="FirstParagraph"/>
      </w:pPr>
      <w:r>
        <w:t xml:space="preserve">The data is unequivocal: For any firm seeking to succeed in Turkey's aerospace sector, embedding an Aerospace Engineer within the Ankara ecosystem isn't optional—it's the cornerstone of commercial viability. Our Sales Report underscores a 92% client satisfaction rate from Turkish enterprises who value our engineers’ cultural fluency and regulatory mastery. As Turkey accelerates its vision for self-reliance in aviation (Turkey's National Aerospace Strategy 2030), the demand for Ankara-based engineering talent will only intensify. We are positioned to capture 40% of this opportunity by year-end through targeted service expansion.</w:t>
      </w:r>
    </w:p>
    <w:p>
      <w:pPr>
        <w:pStyle w:val="BodyText"/>
      </w:pPr>
      <w:r>
        <w:rPr>
          <w:bCs/>
          <w:b/>
        </w:rPr>
        <w:t xml:space="preserve">Prepared By:</w:t>
      </w:r>
      <w:r>
        <w:t xml:space="preserve"> </w:t>
      </w:r>
      <w:r>
        <w:t xml:space="preserve">Global Sales Strategy Unit</w:t>
      </w:r>
      <w:r>
        <w:br/>
      </w:r>
      <w:r>
        <w:rPr>
          <w:bCs/>
          <w:b/>
        </w:rPr>
        <w:t xml:space="preserve">Location:</w:t>
      </w:r>
      <w:r>
        <w:t xml:space="preserve"> </w:t>
      </w:r>
      <w:r>
        <w:t xml:space="preserve">Turkey Ankara Office</w:t>
      </w:r>
      <w:r>
        <w:br/>
      </w:r>
      <w:r>
        <w:rPr>
          <w:bCs/>
          <w:b/>
        </w:rPr>
        <w:t xml:space="preserve">Contact:</w:t>
      </w:r>
      <w:r>
        <w:t xml:space="preserve"> </w:t>
      </w:r>
      <w:r>
        <w:t xml:space="preserve">sales.anatolia@globalaerospace.com | +90 312 XXX XX XX</w:t>
      </w:r>
    </w:p>
    <w:p>
      <w:pPr>
        <w:pStyle w:val="BodyText"/>
      </w:pPr>
      <w:r>
        <w:rPr>
          <w:iCs/>
          <w:i/>
        </w:rPr>
        <w:t xml:space="preserve">This Sales Report is confidential. Distribution restricted to authorized personnel only. Copyright © 2023 Global Aerospace Solutions.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Services for Turkey Ankara Market</dc:title>
  <dc:creator/>
  <cp:keywords/>
  <dcterms:created xsi:type="dcterms:W3CDTF">2026-07-20T14:56:34Z</dcterms:created>
  <dcterms:modified xsi:type="dcterms:W3CDTF">2026-07-20T14:56:34Z</dcterms:modified>
</cp:coreProperties>
</file>

<file path=docProps/custom.xml><?xml version="1.0" encoding="utf-8"?>
<Properties xmlns="http://schemas.openxmlformats.org/officeDocument/2006/custom-properties" xmlns:vt="http://schemas.openxmlformats.org/officeDocument/2006/docPropsVTypes"/>
</file>