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91620e046cafef6a27831532476f19f03eebb39"/>
    <w:p>
      <w:pPr>
        <w:pStyle w:val="Heading1"/>
      </w:pPr>
      <w:r>
        <w:t xml:space="preserve">2023 Q4 Sales Performance Report: Aerospace Engineer Solutions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Executive Board</w:t>
      </w:r>
      <w:r>
        <w:br/>
      </w:r>
      <w:r>
        <w:rPr>
          <w:bCs/>
          <w:b/>
        </w:rPr>
        <w:t xml:space="preserve">Location Focus:</w:t>
      </w:r>
      <w:r>
        <w:t xml:space="preserve"> </w:t>
      </w:r>
      <w:r>
        <w:t xml:space="preserve">Turkey Istanbul Market</w:t>
      </w:r>
    </w:p>
    <w:bookmarkStart w:id="20" w:name="i.-executive-summary"/>
    <w:p>
      <w:pPr>
        <w:pStyle w:val="Heading2"/>
      </w:pPr>
      <w:r>
        <w:t xml:space="preserve">I. Executive Summary</w:t>
      </w:r>
    </w:p>
    <w:p>
      <w:pPr>
        <w:pStyle w:val="FirstParagraph"/>
      </w:pPr>
      <w:r>
        <w:t xml:space="preserve">This Sales Report details the strategic performance of our Aerospace Engineer staffing and consultancy services within the dynamic Turkey Istanbul aerospace sector during Q4 2023. The report confirms a 37% year-over-year increase in sales revenue, directly attributed to enhanced technical solutions delivered by our certified Aerospace Engineers operating from our Istanbul hub. With Turkey’s aviation industry expanding at 12% annually (TÜSİAD, 2023), the strategic positioning of our Istanbul-based team has proven critical to securing major contracts with local manufacturers and international partners. This document validates how localized expertise in</w:t>
      </w:r>
      <w:r>
        <w:t xml:space="preserve"> </w:t>
      </w:r>
      <w:r>
        <w:rPr>
          <w:bCs/>
          <w:b/>
        </w:rPr>
        <w:t xml:space="preserve">Aerospace Engineer</w:t>
      </w:r>
      <w:r>
        <w:t xml:space="preserve"> </w:t>
      </w:r>
      <w:r>
        <w:t xml:space="preserve">services drives measurable commercial success in the Turkey Istanbul market.</w:t>
      </w:r>
    </w:p>
    <w:bookmarkEnd w:id="20"/>
    <w:bookmarkStart w:id="21" w:name="X9141261e211e232f376b057738f3dcd1462f6ff"/>
    <w:p>
      <w:pPr>
        <w:pStyle w:val="Heading2"/>
      </w:pPr>
      <w:r>
        <w:t xml:space="preserve">II. Market Context: Turkey Istanbul Aerospace Landscape</w:t>
      </w:r>
    </w:p>
    <w:p>
      <w:pPr>
        <w:pStyle w:val="FirstParagraph"/>
      </w:pPr>
      <w:r>
        <w:t xml:space="preserve">Turkey’s aerospace sector is experiencing unprecedented growth, anchored by Istanbul as the nation's primary innovation and manufacturing center. The city hosts Turkish Aerospace Industries (TAI) headquarters, the Sivas Space Center development zone (partially managed through Istanbul offices), and 70% of Turkey’s aviation R&amp;D facilities. Key initiatives like the</w:t>
      </w:r>
      <w:r>
        <w:t xml:space="preserve"> </w:t>
      </w:r>
      <w:r>
        <w:rPr>
          <w:iCs/>
          <w:i/>
        </w:rPr>
        <w:t xml:space="preserve">Bayraktar TB2 UAV program</w:t>
      </w:r>
      <w:r>
        <w:t xml:space="preserve">,</w:t>
      </w:r>
      <w:r>
        <w:t xml:space="preserve"> </w:t>
      </w:r>
      <w:r>
        <w:rPr>
          <w:iCs/>
          <w:i/>
        </w:rPr>
        <w:t xml:space="preserve">MİLGEM warship systems integration</w:t>
      </w:r>
      <w:r>
        <w:t xml:space="preserve">, and new domestic jet projects (e.g., TF-X) have created a critical demand for specialized</w:t>
      </w:r>
      <w:r>
        <w:t xml:space="preserve"> </w:t>
      </w:r>
      <w:r>
        <w:rPr>
          <w:bCs/>
          <w:b/>
        </w:rPr>
        <w:t xml:space="preserve">Aerospace Engineer</w:t>
      </w:r>
      <w:r>
        <w:t xml:space="preserve"> </w:t>
      </w:r>
      <w:r>
        <w:t xml:space="preserve">talent. According to the Turkish Ministry of Industry, 45% of all aerospace contracts signed in 2023 were won by firms with on-site engineering teams in Istanbul. This local presence directly impacts sales conversion rates—contracts requiring immediate</w:t>
      </w:r>
      <w:r>
        <w:t xml:space="preserve"> </w:t>
      </w:r>
      <w:r>
        <w:rPr>
          <w:bCs/>
          <w:b/>
        </w:rPr>
        <w:t xml:space="preserve">Aerospace Engineer</w:t>
      </w:r>
      <w:r>
        <w:t xml:space="preserve"> </w:t>
      </w:r>
      <w:r>
        <w:t xml:space="preserve">deployment see a 68% faster closing cycle compared to remote-lead proposals.</w:t>
      </w:r>
    </w:p>
    <w:bookmarkEnd w:id="21"/>
    <w:bookmarkStart w:id="22" w:name="X816591bb7a9dd75e2c17aa58bc58a447cc628b7"/>
    <w:p>
      <w:pPr>
        <w:pStyle w:val="Heading2"/>
      </w:pPr>
      <w:r>
        <w:t xml:space="preserve">III. Sales Performance Analysis: Turkey Istanbul Focus</w:t>
      </w:r>
    </w:p>
    <w:p>
      <w:pPr>
        <w:pStyle w:val="FirstParagraph"/>
      </w:pPr>
      <w:r>
        <w:rPr>
          <w:bCs/>
          <w:b/>
        </w:rPr>
        <w:t xml:space="preserve">Revenue Highlights:</w:t>
      </w:r>
    </w:p>
    <w:p>
      <w:pPr>
        <w:numPr>
          <w:ilvl w:val="0"/>
          <w:numId w:val="1001"/>
        </w:numPr>
        <w:pStyle w:val="Compact"/>
      </w:pPr>
      <w:r>
        <w:rPr>
          <w:bCs/>
          <w:b/>
        </w:rPr>
        <w:t xml:space="preserve">Total Q4 Sales:</w:t>
      </w:r>
      <w:r>
        <w:t xml:space="preserve"> </w:t>
      </w:r>
      <w:r>
        <w:t xml:space="preserve">$18.7M (37% YoY growth)</w:t>
      </w:r>
    </w:p>
    <w:p>
      <w:pPr>
        <w:numPr>
          <w:ilvl w:val="0"/>
          <w:numId w:val="1001"/>
        </w:numPr>
        <w:pStyle w:val="Compact"/>
      </w:pPr>
      <w:r>
        <w:rPr>
          <w:bCs/>
          <w:b/>
        </w:rPr>
        <w:t xml:space="preserve">Turkey Istanbul Contribution:</w:t>
      </w:r>
      <w:r>
        <w:t xml:space="preserve"> </w:t>
      </w:r>
      <w:r>
        <w:t xml:space="preserve">63% of global sales ($11.8M), up from 52% in Q4 2022</w:t>
      </w:r>
    </w:p>
    <w:p>
      <w:pPr>
        <w:numPr>
          <w:ilvl w:val="0"/>
          <w:numId w:val="1001"/>
        </w:numPr>
        <w:pStyle w:val="Compact"/>
      </w:pPr>
      <w:r>
        <w:rPr>
          <w:bCs/>
          <w:b/>
        </w:rPr>
        <w:t xml:space="preserve">Top Contracts:</w:t>
      </w:r>
    </w:p>
    <w:p>
      <w:pPr>
        <w:numPr>
          <w:ilvl w:val="1"/>
          <w:numId w:val="1002"/>
        </w:numPr>
        <w:pStyle w:val="Compact"/>
      </w:pPr>
      <w:r>
        <w:t xml:space="preserve">$6.2M TAI Advanced UAV Systems Integration (Istanbul-based engineering team)</w:t>
      </w:r>
    </w:p>
    <w:p>
      <w:pPr>
        <w:numPr>
          <w:ilvl w:val="1"/>
          <w:numId w:val="1002"/>
        </w:numPr>
        <w:pStyle w:val="Compact"/>
      </w:pPr>
      <w:r>
        <w:t xml:space="preserve">$3.9M Turkish Air Force Maintenance Training Program (led by 14 Aerospace Engineers in Istanbul)</w:t>
      </w:r>
    </w:p>
    <w:p>
      <w:pPr>
        <w:numPr>
          <w:ilvl w:val="1"/>
          <w:numId w:val="1002"/>
        </w:numPr>
        <w:pStyle w:val="Compact"/>
      </w:pPr>
      <w:r>
        <w:t xml:space="preserve">$2.4M NATO-Approved Avionics Certification Project (coordinated through Istanbul office)</w:t>
      </w:r>
    </w:p>
    <w:p>
      <w:pPr>
        <w:pStyle w:val="FirstParagraph"/>
      </w:pPr>
      <w:r>
        <w:rPr>
          <w:bCs/>
          <w:b/>
        </w:rPr>
        <w:t xml:space="preserve">Key Sales Drivers:</w:t>
      </w:r>
    </w:p>
    <w:p>
      <w:pPr>
        <w:numPr>
          <w:ilvl w:val="0"/>
          <w:numId w:val="1003"/>
        </w:numPr>
        <w:pStyle w:val="Compact"/>
      </w:pPr>
      <w:r>
        <w:rPr>
          <w:iCs/>
          <w:i/>
        </w:rPr>
        <w:t xml:space="preserve">Localized Technical Expertise:</w:t>
      </w:r>
      <w:r>
        <w:t xml:space="preserve"> </w:t>
      </w:r>
      <w:r>
        <w:t xml:space="preserve">Our 28 Aerospace Engineers based in Istanbul demonstrated deep knowledge of Turkish aviation regulations (e.g., TÜBİTAK standards), accelerating client trust. For example, the $3.9M Air Force contract was secured because our team understood Turkey’s specific maintenance certification pathways within 48 hours of initial inquiry.</w:t>
      </w:r>
    </w:p>
    <w:p>
      <w:pPr>
        <w:numPr>
          <w:ilvl w:val="0"/>
          <w:numId w:val="1003"/>
        </w:numPr>
        <w:pStyle w:val="Compact"/>
      </w:pPr>
      <w:r>
        <w:rPr>
          <w:iCs/>
          <w:i/>
        </w:rPr>
        <w:t xml:space="preserve">Strategic Partnership Synergies:</w:t>
      </w:r>
      <w:r>
        <w:t xml:space="preserve"> </w:t>
      </w:r>
      <w:r>
        <w:t xml:space="preserve">Collaborations with Istanbul University Aerospace Departments and TÜBİTAK research centers enabled us to offer combined R&amp;D + engineering solutions, directly addressing client needs for "end-to-end innovation" – a top sales differentiator in Turkey Istanbul.</w:t>
      </w:r>
    </w:p>
    <w:p>
      <w:pPr>
        <w:numPr>
          <w:ilvl w:val="0"/>
          <w:numId w:val="1003"/>
        </w:numPr>
        <w:pStyle w:val="Compact"/>
      </w:pPr>
      <w:r>
        <w:rPr>
          <w:iCs/>
          <w:i/>
        </w:rPr>
        <w:t xml:space="preserve">Competitive Edge:</w:t>
      </w:r>
      <w:r>
        <w:t xml:space="preserve"> </w:t>
      </w:r>
      <w:r>
        <w:t xml:space="preserve">89% of closed deals included on-site</w:t>
      </w:r>
      <w:r>
        <w:t xml:space="preserve"> </w:t>
      </w:r>
      <w:r>
        <w:rPr>
          <w:bCs/>
          <w:b/>
        </w:rPr>
        <w:t xml:space="preserve">Aerospace Engineer</w:t>
      </w:r>
      <w:r>
        <w:t xml:space="preserve"> </w:t>
      </w:r>
      <w:r>
        <w:t xml:space="preserve">support within 72 hours. Competitors with remote teams averaged 14-day response times, directly impacting win rates by 23% in Turkey Istanbul.</w:t>
      </w:r>
    </w:p>
    <w:bookmarkEnd w:id="22"/>
    <w:bookmarkStart w:id="23" w:name="iv.-customer-feedback-market-perception"/>
    <w:p>
      <w:pPr>
        <w:pStyle w:val="Heading2"/>
      </w:pPr>
      <w:r>
        <w:t xml:space="preserve">IV. Customer Feedback &amp; Market Perception</w:t>
      </w:r>
    </w:p>
    <w:p>
      <w:pPr>
        <w:pStyle w:val="FirstParagraph"/>
      </w:pPr>
      <w:r>
        <w:t xml:space="preserve">Custodian surveys from key Turkey Istanbul clients reveal strong alignment with our engineering-led sales model:</w:t>
      </w:r>
    </w:p>
    <w:p>
      <w:pPr>
        <w:pStyle w:val="BlockText"/>
      </w:pPr>
      <w:r>
        <w:t xml:space="preserve">"Their Istanbul-based Aerospace Engineers understood our production line challenges immediately. They didn’t just sell services—they integrated into our TAI facility operations within 3 days. This is why we renewed for $5M." – Senior Procurement Director, Turkish Aerospace Industries (TAI)</w:t>
      </w:r>
    </w:p>
    <w:p>
      <w:pPr>
        <w:pStyle w:val="FirstParagraph"/>
      </w:pPr>
      <w:r>
        <w:t xml:space="preserve">Additionally, 92% of new clients in Turkey Istanbul cited "local engineering expertise" as their primary reason for choosing our firm over international competitors. This sentiment directly correlates with our sales velocity: contracts involving onsite</w:t>
      </w:r>
      <w:r>
        <w:t xml:space="preserve"> </w:t>
      </w:r>
      <w:r>
        <w:rPr>
          <w:bCs/>
          <w:b/>
        </w:rPr>
        <w:t xml:space="preserve">Aerospace Engineer</w:t>
      </w:r>
      <w:r>
        <w:t xml:space="preserve"> </w:t>
      </w:r>
      <w:r>
        <w:t xml:space="preserve">teams close 41% faster than those without.</w:t>
      </w:r>
    </w:p>
    <w:bookmarkEnd w:id="23"/>
    <w:bookmarkStart w:id="24" w:name="v.-challenges-strategic-recommendations"/>
    <w:p>
      <w:pPr>
        <w:pStyle w:val="Heading2"/>
      </w:pPr>
      <w:r>
        <w:t xml:space="preserve">V. Challenges &amp; Strategic Recommendations</w:t>
      </w:r>
    </w:p>
    <w:p>
      <w:pPr>
        <w:pStyle w:val="FirstParagraph"/>
      </w:pPr>
      <w:r>
        <w:rPr>
          <w:bCs/>
          <w:b/>
        </w:rPr>
        <w:t xml:space="preserve">Emerging Challenge:</w:t>
      </w:r>
      <w:r>
        <w:t xml:space="preserve"> </w:t>
      </w:r>
      <w:r>
        <w:t xml:space="preserve">Rapid industry growth has intensified competition for specialized Aerospace Engineer talent in Istanbul, with salaries rising 18% YoY (Turkish Engineering Council Report). This threatens project margins if not addressed.</w:t>
      </w:r>
    </w:p>
    <w:p>
      <w:pPr>
        <w:pStyle w:val="BodyText"/>
      </w:pPr>
      <w:r>
        <w:rPr>
          <w:bCs/>
          <w:b/>
        </w:rPr>
        <w:t xml:space="preserve">Recommended Actions:</w:t>
      </w:r>
    </w:p>
    <w:p>
      <w:pPr>
        <w:numPr>
          <w:ilvl w:val="0"/>
          <w:numId w:val="1004"/>
        </w:numPr>
        <w:pStyle w:val="Compact"/>
      </w:pPr>
      <w:r>
        <w:rPr>
          <w:iCs/>
          <w:i/>
        </w:rPr>
        <w:t xml:space="preserve">Launch Istanbul Talent Development Program:</w:t>
      </w:r>
      <w:r>
        <w:t xml:space="preserve"> </w:t>
      </w:r>
      <w:r>
        <w:t xml:space="preserve">Partner with Istanbul Technical University (ITU) to create a 12-month Aerospace Engineer apprenticeship, directly addressing local talent gaps while ensuring our sales pipeline has qualified candidates.</w:t>
      </w:r>
    </w:p>
    <w:p>
      <w:pPr>
        <w:numPr>
          <w:ilvl w:val="0"/>
          <w:numId w:val="1004"/>
        </w:numPr>
        <w:pStyle w:val="Compact"/>
      </w:pPr>
      <w:r>
        <w:rPr>
          <w:iCs/>
          <w:i/>
        </w:rPr>
        <w:t xml:space="preserve">Expand "Engineering Sales" Roles:</w:t>
      </w:r>
      <w:r>
        <w:t xml:space="preserve"> </w:t>
      </w:r>
      <w:r>
        <w:t xml:space="preserve">Convert top-performing technical support staff into dedicated sales engineers based in Istanbul, reducing response time and increasing consultative selling effectiveness.</w:t>
      </w:r>
    </w:p>
    <w:p>
      <w:pPr>
        <w:numPr>
          <w:ilvl w:val="0"/>
          <w:numId w:val="1004"/>
        </w:numPr>
        <w:pStyle w:val="Compact"/>
      </w:pPr>
      <w:r>
        <w:rPr>
          <w:iCs/>
          <w:i/>
        </w:rPr>
        <w:t xml:space="preserve">Create Turkey-Specific Solution Bundles:</w:t>
      </w:r>
      <w:r>
        <w:t xml:space="preserve"> </w:t>
      </w:r>
      <w:r>
        <w:t xml:space="preserve">Develop pre-packaged Aerospace Engineer services aligned with Turkish government initiatives (e.g., "National UAV Production Support Package"), accelerating proposal cycles for key market segments.</w:t>
      </w:r>
    </w:p>
    <w:bookmarkEnd w:id="24"/>
    <w:bookmarkStart w:id="25" w:name="vi.-conclusion-the-istanbul-advantage"/>
    <w:p>
      <w:pPr>
        <w:pStyle w:val="Heading2"/>
      </w:pPr>
      <w:r>
        <w:t xml:space="preserve">VI. Conclusion: The Istanbul Advantage</w:t>
      </w:r>
    </w:p>
    <w:p>
      <w:pPr>
        <w:pStyle w:val="FirstParagraph"/>
      </w:pPr>
      <w:r>
        <w:t xml:space="preserve">This Sales Report unequivocally demonstrates that our Turkey Istanbul strategy—centered on deploying certified Aerospace Engineers within the local ecosystem—is not merely a regional tactic but the core engine of growth for Global Aerospace Solutions. In a market where 78% of aerospace buyers prioritize "on-the-ground technical capability" (Turkish Industry Association), our Istanbul-based</w:t>
      </w:r>
      <w:r>
        <w:t xml:space="preserve"> </w:t>
      </w:r>
      <w:r>
        <w:rPr>
          <w:bCs/>
          <w:b/>
        </w:rPr>
        <w:t xml:space="preserve">Aerospace Engineer</w:t>
      </w:r>
      <w:r>
        <w:t xml:space="preserve"> </w:t>
      </w:r>
      <w:r>
        <w:t xml:space="preserve">teams deliver both immediate sales impact and long-term client retention. As Turkey’s aviation sector targets $25B in exports by 2030, the strategic value of embedding our engineering talent within the Istanbul business fabric will continue to drive outsized revenue growth. We recommend doubling down on this model through enhanced local partnerships and dedicated investment in Turkey Istanbul’s aerospace ecosystem.</w:t>
      </w:r>
    </w:p>
    <w:p>
      <w:pPr>
        <w:pStyle w:val="BodyText"/>
      </w:pPr>
      <w:r>
        <w:rPr>
          <w:bCs/>
          <w:b/>
        </w:rPr>
        <w:t xml:space="preserve">Prepared By:</w:t>
      </w:r>
      <w:r>
        <w:t xml:space="preserve"> </w:t>
      </w:r>
      <w:r>
        <w:t xml:space="preserve">Global Aerospace Solutions Sales Strategy Team</w:t>
      </w:r>
      <w:r>
        <w:br/>
      </w:r>
      <w:r>
        <w:rPr>
          <w:bCs/>
          <w:b/>
        </w:rPr>
        <w:t xml:space="preserve">Location:</w:t>
      </w:r>
      <w:r>
        <w:t xml:space="preserve"> </w:t>
      </w:r>
      <w:r>
        <w:t xml:space="preserve">Istanbul, Turkey</w:t>
      </w:r>
      <w:r>
        <w:br/>
      </w:r>
      <w:r>
        <w:rPr>
          <w:bCs/>
          <w:b/>
        </w:rPr>
        <w:t xml:space="preserve">Contact:</w:t>
      </w:r>
      <w:r>
        <w:t xml:space="preserve"> </w:t>
      </w:r>
      <w:r>
        <w:t xml:space="preserve">istanbul.sales@globalaerospace.com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Turkey Istanbul Market</dc:title>
  <dc:creator/>
  <dc:language>en</dc:language>
  <cp:keywords/>
  <dcterms:created xsi:type="dcterms:W3CDTF">2026-07-21T16:26:41Z</dcterms:created>
  <dcterms:modified xsi:type="dcterms:W3CDTF">2026-07-21T16:26:41Z</dcterms:modified>
</cp:coreProperties>
</file>

<file path=docProps/custom.xml><?xml version="1.0" encoding="utf-8"?>
<Properties xmlns="http://schemas.openxmlformats.org/officeDocument/2006/custom-properties" xmlns:vt="http://schemas.openxmlformats.org/officeDocument/2006/docPropsVTypes"/>
</file>