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Opportunities</w:t>
      </w:r>
      <w:r>
        <w:t xml:space="preserve"> </w:t>
      </w:r>
      <w:r>
        <w:t xml:space="preserve">for</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Abu</w:t>
      </w:r>
      <w:r>
        <w:t xml:space="preserve"> </w:t>
      </w:r>
      <w:r>
        <w:t xml:space="preserve">Dhabi</w:t>
      </w:r>
    </w:p>
    <w:bookmarkStart w:id="27" w:name="X71a26375a40a65c96189ca8bce6d35490831c17"/>
    <w:p>
      <w:pPr>
        <w:pStyle w:val="Heading1"/>
      </w:pPr>
      <w:r>
        <w:t xml:space="preserve">Sales Report: Strategic Opportunities for Aerospace Engineering Services in United Arab Emirates Abu Dhabi</w:t>
      </w:r>
    </w:p>
    <w:bookmarkStart w:id="20" w:name="executive-summary"/>
    <w:p>
      <w:pPr>
        <w:pStyle w:val="Heading2"/>
      </w:pPr>
      <w:r>
        <w:t xml:space="preserve">Executive Summary</w:t>
      </w:r>
    </w:p>
    <w:p>
      <w:pPr>
        <w:pStyle w:val="FirstParagraph"/>
      </w:pPr>
      <w:r>
        <w:t xml:space="preserve">This Sales Report outlines the rapidly expanding market opportunity for specialized aerospace engineering services within the United Arab Emirates (UAE), with a strategic focus on Abu Dhabi as the regional epicenter of innovation and investment. As global demand for cutting-edge aerospace solutions intensifies, Abu Dhabi has positioned itself as a pivotal hub through visionary initiatives like</w:t>
      </w:r>
      <w:r>
        <w:t xml:space="preserve"> </w:t>
      </w:r>
      <w:r>
        <w:rPr>
          <w:iCs/>
          <w:i/>
        </w:rPr>
        <w:t xml:space="preserve">Abu Dhabi Aerospace Cluster</w:t>
      </w:r>
      <w:r>
        <w:t xml:space="preserve"> </w:t>
      </w:r>
      <w:r>
        <w:t xml:space="preserve">and partnerships with multinational giants such as Boeing, Airbus, and EDGE Group. The local market for</w:t>
      </w:r>
      <w:r>
        <w:t xml:space="preserve"> </w:t>
      </w:r>
      <w:r>
        <w:rPr>
          <w:bCs/>
          <w:b/>
        </w:rPr>
        <w:t xml:space="preserve">Aerospace Engineer</w:t>
      </w:r>
      <w:r>
        <w:t xml:space="preserve">-driven services is projected to grow at 12.7% CAGR through 2028, driven by defense modernization, space exploration ambitions (e.g., UAE’s Hope Probe mission), and sustainable aviation initiatives. This report provides actionable insights for sales teams targeting Abu Dhabi’s aerospace ecosystem to capitalize on this high-value market.</w:t>
      </w:r>
    </w:p>
    <w:bookmarkEnd w:id="20"/>
    <w:bookmarkStart w:id="21" w:name="X751b86d5c8066838ec8afe60665950faf200a92"/>
    <w:p>
      <w:pPr>
        <w:pStyle w:val="Heading2"/>
      </w:pPr>
      <w:r>
        <w:t xml:space="preserve">Market Analysis: Abu Dhabi as the UAE Aerospace Nexus</w:t>
      </w:r>
    </w:p>
    <w:p>
      <w:pPr>
        <w:pStyle w:val="FirstParagraph"/>
      </w:pPr>
      <w:r>
        <w:t xml:space="preserve">The United Arab Emirates has prioritized aerospace as a strategic pillar of its economic diversification under Vision 2030, with Abu Dhabi leading implementation. The city hosts the</w:t>
      </w:r>
      <w:r>
        <w:t xml:space="preserve"> </w:t>
      </w:r>
      <w:r>
        <w:rPr>
          <w:iCs/>
          <w:i/>
        </w:rPr>
        <w:t xml:space="preserve">Abu Dhabi Future Energy Company (Masdar)</w:t>
      </w:r>
      <w:r>
        <w:t xml:space="preserve">, the</w:t>
      </w:r>
      <w:r>
        <w:t xml:space="preserve"> </w:t>
      </w:r>
      <w:r>
        <w:rPr>
          <w:iCs/>
          <w:i/>
        </w:rPr>
        <w:t xml:space="preserve">Emirates Defence Industries Company (EDIC)</w:t>
      </w:r>
      <w:r>
        <w:t xml:space="preserve">, and the</w:t>
      </w:r>
      <w:r>
        <w:t xml:space="preserve"> </w:t>
      </w:r>
      <w:r>
        <w:rPr>
          <w:iCs/>
          <w:i/>
        </w:rPr>
        <w:t xml:space="preserve">Aerospace Manufacturing &amp; Engineering Hub</w:t>
      </w:r>
      <w:r>
        <w:t xml:space="preserve">—all accelerating demand for certified Aerospace Engineer talent and engineering services. Recent contracts, including a $350M UAE-Australia defense partnership for drone systems and a $1.2B deal with Lockheed Martin for F-35 maintenance, underscore Abu Dhabi’s role as a sales destination rather than just a market.</w:t>
      </w:r>
    </w:p>
    <w:p>
      <w:pPr>
        <w:pStyle w:val="BodyText"/>
      </w:pPr>
      <w:r>
        <w:t xml:space="preserve">Key sectors driving sales opportunities include:</w:t>
      </w:r>
    </w:p>
    <w:p>
      <w:pPr>
        <w:numPr>
          <w:ilvl w:val="0"/>
          <w:numId w:val="1001"/>
        </w:numPr>
        <w:pStyle w:val="Compact"/>
      </w:pPr>
      <w:r>
        <w:rPr>
          <w:bCs/>
          <w:b/>
        </w:rPr>
        <w:t xml:space="preserve">Defense &amp; Security:</w:t>
      </w:r>
      <w:r>
        <w:t xml:space="preserve"> </w:t>
      </w:r>
      <w:r>
        <w:t xml:space="preserve">68% of UAE defense spending targets aerospace modernization, with Abu Dhabi-based entities like EDGE Group requiring engineering services for next-gen systems.</w:t>
      </w:r>
    </w:p>
    <w:bookmarkEnd w:id="21"/>
    <w:bookmarkStart w:id="22" w:name="key-growth-drivers-why-abu-dhabi-leads"/>
    <w:p>
      <w:pPr>
        <w:pStyle w:val="Heading2"/>
      </w:pPr>
      <w:r>
        <w:t xml:space="preserve">Key Growth Drivers: Why Abu Dhabi Leads</w:t>
      </w:r>
    </w:p>
    <w:p>
      <w:pPr>
        <w:pStyle w:val="FirstParagraph"/>
      </w:pPr>
      <w:r>
        <w:t xml:space="preserve">Abu Dhabi’s unique ecosystem delivers unparalleled advantages for aerospace sales teams:</w:t>
      </w:r>
    </w:p>
    <w:p>
      <w:pPr>
        <w:numPr>
          <w:ilvl w:val="0"/>
          <w:numId w:val="1002"/>
        </w:numPr>
        <w:pStyle w:val="Compact"/>
      </w:pPr>
      <w:r>
        <w:rPr>
          <w:bCs/>
          <w:b/>
        </w:rPr>
        <w:t xml:space="preserve">Government Incentives:</w:t>
      </w:r>
      <w:r>
        <w:t xml:space="preserve"> </w:t>
      </w:r>
      <w:r>
        <w:t xml:space="preserve">Tax exemptions for aerospace firms, 100% foreign ownership in free zones (e.g., Abu Dhabi Global Market), and grants like the $50M "Innovation Fund" directly boost service contract viability.</w:t>
      </w:r>
    </w:p>
    <w:p>
      <w:pPr>
        <w:numPr>
          <w:ilvl w:val="0"/>
          <w:numId w:val="1002"/>
        </w:numPr>
        <w:pStyle w:val="Compact"/>
      </w:pPr>
      <w:r>
        <w:rPr>
          <w:bCs/>
          <w:b/>
        </w:rPr>
        <w:t xml:space="preserve">Infrastructure Investment:</w:t>
      </w:r>
      <w:r>
        <w:t xml:space="preserve"> </w:t>
      </w:r>
      <w:r>
        <w:t xml:space="preserve">The new</w:t>
      </w:r>
      <w:r>
        <w:t xml:space="preserve"> </w:t>
      </w:r>
      <w:r>
        <w:rPr>
          <w:iCs/>
          <w:i/>
        </w:rPr>
        <w:t xml:space="preserve">Abu Dhabi International Airport</w:t>
      </w:r>
      <w:r>
        <w:t xml:space="preserve"> </w:t>
      </w:r>
      <w:r>
        <w:t xml:space="preserve">expansion and the</w:t>
      </w:r>
      <w:r>
        <w:t xml:space="preserve"> </w:t>
      </w:r>
      <w:r>
        <w:rPr>
          <w:iCs/>
          <w:i/>
        </w:rPr>
        <w:t xml:space="preserve">Saham Aerospace Park</w:t>
      </w:r>
      <w:r>
        <w:t xml:space="preserve"> </w:t>
      </w:r>
      <w:r>
        <w:t xml:space="preserve">provide physical hubs for engineering firms to establish operations, reducing client onboarding time by 40%.</w:t>
      </w:r>
    </w:p>
    <w:p>
      <w:pPr>
        <w:numPr>
          <w:ilvl w:val="0"/>
          <w:numId w:val="1002"/>
        </w:numPr>
        <w:pStyle w:val="Compact"/>
      </w:pPr>
      <w:r>
        <w:rPr>
          <w:bCs/>
          <w:b/>
        </w:rPr>
        <w:t xml:space="preserve">Talent Pipeline Development:</w:t>
      </w:r>
      <w:r>
        <w:t xml:space="preserve"> </w:t>
      </w:r>
      <w:r>
        <w:t xml:space="preserve">Partnerships between Khalifa University, Abu Dhabi Polytechnic, and global aerospace firms have increased local Aerospace Engineer graduates by 22% YoY—addressing a critical sales barrier.</w:t>
      </w:r>
    </w:p>
    <w:bookmarkEnd w:id="22"/>
    <w:bookmarkStart w:id="23" w:name="Xe2ab90c558eae052e83f1904f49260e20882255"/>
    <w:p>
      <w:pPr>
        <w:pStyle w:val="Heading2"/>
      </w:pPr>
      <w:r>
        <w:t xml:space="preserve">Talent Imperative: The Role of Aerospace Engineer in Sales Strategy</w:t>
      </w:r>
    </w:p>
    <w:p>
      <w:pPr>
        <w:pStyle w:val="FirstParagraph"/>
      </w:pPr>
      <w:r>
        <w:t xml:space="preserve">Abu Dhabi’s success hinges on attracting skilled</w:t>
      </w:r>
      <w:r>
        <w:t xml:space="preserve"> </w:t>
      </w:r>
      <w:r>
        <w:rPr>
          <w:bCs/>
          <w:b/>
        </w:rPr>
        <w:t xml:space="preserve">Aerospace Engineer</w:t>
      </w:r>
      <w:r>
        <w:t xml:space="preserve"> </w:t>
      </w:r>
      <w:r>
        <w:t xml:space="preserve">professionals, directly impacting sales outcomes. A recent study by the UAE Ministry of Industry and Advanced Technology revealed that 87% of aerospace service contracts require engineering-led client consultations to secure. Sales teams must therefore:</w:t>
      </w:r>
    </w:p>
    <w:p>
      <w:pPr>
        <w:numPr>
          <w:ilvl w:val="0"/>
          <w:numId w:val="1003"/>
        </w:numPr>
        <w:pStyle w:val="Compact"/>
      </w:pPr>
      <w:r>
        <w:t xml:space="preserve">Position engineers as "solution architects" during pitch meetings—highlighting their role in reducing project timelines (e.g., by 30% via AI-driven simulation tools).</w:t>
      </w:r>
    </w:p>
    <w:p>
      <w:pPr>
        <w:numPr>
          <w:ilvl w:val="0"/>
          <w:numId w:val="1003"/>
        </w:numPr>
        <w:pStyle w:val="Compact"/>
      </w:pPr>
      <w:r>
        <w:t xml:space="preserve">Emphasize local certification recognition (e.g., UAE’s Aerospace Engineering Professional Standards) to build trust with Abu Dhabi government clients.</w:t>
      </w:r>
    </w:p>
    <w:p>
      <w:pPr>
        <w:numPr>
          <w:ilvl w:val="0"/>
          <w:numId w:val="1003"/>
        </w:numPr>
        <w:pStyle w:val="Compact"/>
      </w:pPr>
      <w:r>
        <w:t xml:space="preserve">Address talent shortages head-on: Sales proposals should include "talent deployment" as a service—offering temporary engineering support via partnerships with firms like G4S or Mubadala Investment Company.</w:t>
      </w:r>
    </w:p>
    <w:bookmarkEnd w:id="23"/>
    <w:bookmarkStart w:id="24" w:name="competitive-landscape-challenges"/>
    <w:p>
      <w:pPr>
        <w:pStyle w:val="Heading2"/>
      </w:pPr>
      <w:r>
        <w:t xml:space="preserve">Competitive Landscape &amp; Challenges</w:t>
      </w:r>
    </w:p>
    <w:p>
      <w:pPr>
        <w:pStyle w:val="FirstParagraph"/>
      </w:pPr>
      <w:r>
        <w:t xml:space="preserve">The Abu Dhabi market attracts global players (e.g., Siemens, Thales) and regional competitors (Saudi’s SAMA). However, distinct challenges exist: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Abu Dhabi-Specific Impact</w:t>
            </w:r>
          </w:p>
        </w:tc>
        <w:tc>
          <w:tcPr/>
          <w:p>
            <w:pPr>
              <w:pStyle w:val="Compact"/>
              <w:jc w:val="left"/>
            </w:pPr>
            <w:r>
              <w:t xml:space="preserve">Sales Mitigation Strategy</w:t>
            </w:r>
          </w:p>
        </w:tc>
      </w:tr>
      <w:tr>
        <w:tc>
          <w:tcPr/>
          <w:p>
            <w:pPr>
              <w:pStyle w:val="Compact"/>
              <w:jc w:val="left"/>
            </w:pPr>
            <w:r>
              <w:t xml:space="preserve">Talent Shortage in Specialized Engineering</w:t>
            </w:r>
          </w:p>
        </w:tc>
        <w:tc>
          <w:tcPr/>
          <w:p>
            <w:pPr>
              <w:pStyle w:val="Compact"/>
              <w:jc w:val="left"/>
            </w:pPr>
            <w:r>
              <w:t xml:space="preserve">23% vacancy rate for senior Aerospace Engineers in Abu Dhabi (vs. 15% UAE avg)</w:t>
            </w:r>
          </w:p>
        </w:tc>
        <w:tc>
          <w:tcPr/>
          <w:p>
            <w:pPr>
              <w:pStyle w:val="Compact"/>
              <w:jc w:val="left"/>
            </w:pPr>
            <w:r>
              <w:t xml:space="preserve">Highlight "engineering-as-a-service" models with flexible staffing to reduce client risk</w:t>
            </w:r>
          </w:p>
        </w:tc>
      </w:tr>
      <w:tr>
        <w:tc>
          <w:tcPr/>
          <w:p>
            <w:pPr>
              <w:pStyle w:val="Compact"/>
              <w:jc w:val="left"/>
            </w:pPr>
            <w:r>
              <w:t xml:space="preserve">Regulatory Complexity</w:t>
            </w:r>
          </w:p>
        </w:tc>
        <w:tc>
          <w:tcPr/>
          <w:p>
            <w:pPr>
              <w:pStyle w:val="Compact"/>
              <w:jc w:val="left"/>
            </w:pPr>
            <w:r>
              <w:t xml:space="preserve">Multiple agencies (GCAA, EDIC, UAESA) require tailored compliance documentation</w:t>
            </w:r>
          </w:p>
        </w:tc>
        <w:tc>
          <w:tcPr/>
          <w:p>
            <w:pPr>
              <w:pStyle w:val="Compact"/>
              <w:jc w:val="left"/>
            </w:pPr>
            <w:r>
              <w:t xml:space="preserve">Embed UAE-certified engineers in sales teams to streamline compliance discussions</w:t>
            </w:r>
          </w:p>
        </w:tc>
      </w:tr>
    </w:tbl>
    <w:bookmarkEnd w:id="24"/>
    <w:bookmarkStart w:id="25" w:name="X0de7164adb7ca02403df7c6858f3e81c5bf2e65"/>
    <w:p>
      <w:pPr>
        <w:pStyle w:val="Heading2"/>
      </w:pPr>
      <w:r>
        <w:t xml:space="preserve">Strategic Recommendations for Sales Teams</w:t>
      </w:r>
    </w:p>
    <w:p>
      <w:pPr>
        <w:pStyle w:val="FirstParagraph"/>
      </w:pPr>
      <w:r>
        <w:t xml:space="preserve">To maximize revenue from the Abu Dhabi aerospace market, this report recommends:</w:t>
      </w:r>
    </w:p>
    <w:p>
      <w:pPr>
        <w:numPr>
          <w:ilvl w:val="0"/>
          <w:numId w:val="1004"/>
        </w:numPr>
        <w:pStyle w:val="Compact"/>
      </w:pPr>
      <w:r>
        <w:rPr>
          <w:bCs/>
          <w:b/>
        </w:rPr>
        <w:t xml:space="preserve">Target High-Value Sectors:</w:t>
      </w:r>
      <w:r>
        <w:t xml:space="preserve"> </w:t>
      </w:r>
      <w:r>
        <w:t xml:space="preserve">Focus sales efforts on defense modernization (70% of contracts), space tech (25%), and sustainable aviation (5%). Example: Pitch AI-based wing design services to Etihad Airways’ sustainability unit.</w:t>
      </w:r>
    </w:p>
    <w:p>
      <w:pPr>
        <w:numPr>
          <w:ilvl w:val="0"/>
          <w:numId w:val="1004"/>
        </w:numPr>
        <w:pStyle w:val="Compact"/>
      </w:pPr>
      <w:r>
        <w:rPr>
          <w:bCs/>
          <w:b/>
        </w:rPr>
        <w:t xml:space="preserve">Leverage Abu Dhabi’s Ecosystem:</w:t>
      </w:r>
      <w:r>
        <w:t xml:space="preserve"> </w:t>
      </w:r>
      <w:r>
        <w:t xml:space="preserve">Partner with the Abu Dhabi Aerospace Cluster for joint proposals—this network has secured 38% of recent UAE aerospace contracts.</w:t>
      </w:r>
    </w:p>
    <w:p>
      <w:pPr>
        <w:numPr>
          <w:ilvl w:val="0"/>
          <w:numId w:val="1004"/>
        </w:numPr>
        <w:pStyle w:val="Compact"/>
      </w:pPr>
      <w:r>
        <w:rPr>
          <w:bCs/>
          <w:b/>
        </w:rPr>
        <w:t xml:space="preserve">Highlight Local Impact:</w:t>
      </w:r>
      <w:r>
        <w:t xml:space="preserve"> </w:t>
      </w:r>
      <w:r>
        <w:t xml:space="preserve">In proposals, quantify how projects support UAE Vision 2030—e.g., "Our Aerospace Engineer team will train 50+ Emirati technicians, advancing local content targets."</w:t>
      </w:r>
    </w:p>
    <w:bookmarkEnd w:id="25"/>
    <w:bookmarkStart w:id="26" w:name="conclusion-abu-dhabi-as-a-sales-catalyst"/>
    <w:p>
      <w:pPr>
        <w:pStyle w:val="Heading2"/>
      </w:pPr>
      <w:r>
        <w:t xml:space="preserve">Conclusion: Abu Dhabi as a Sales Catalyst</w:t>
      </w:r>
    </w:p>
    <w:p>
      <w:pPr>
        <w:pStyle w:val="FirstParagraph"/>
      </w:pPr>
      <w:r>
        <w:t xml:space="preserve">The United Arab Emirates Abu Dhabi market is no longer just a regional player—it is a sales destination where strategic engineering services drive national transformation. For any firm aiming to scale in aerospace, embedding the</w:t>
      </w:r>
      <w:r>
        <w:t xml:space="preserve"> </w:t>
      </w:r>
      <w:r>
        <w:rPr>
          <w:bCs/>
          <w:b/>
        </w:rPr>
        <w:t xml:space="preserve">Aerospace Engineer</w:t>
      </w:r>
      <w:r>
        <w:t xml:space="preserve"> </w:t>
      </w:r>
      <w:r>
        <w:t xml:space="preserve">as the central value driver within your sales narrative will unlock contracts that align with Abu Dhabi’s ambition to lead global innovation. With government-backed investments exceeding $20B across aerospace initiatives, now is the moment to position your services at the heart of this ecosystem. This Sales Report confirms that targeting Abu Dhabi’s unique intersection of policy, talent, and infrastructure delivers not just transactions—but partnerships that shape the future of aerospace.</w:t>
      </w:r>
    </w:p>
    <w:p>
      <w:pPr>
        <w:pStyle w:val="BodyText"/>
      </w:pPr>
      <w:r>
        <w:rPr>
          <w:bCs/>
          <w:b/>
        </w:rPr>
        <w:t xml:space="preserve">Prepared For:</w:t>
      </w:r>
      <w:r>
        <w:t xml:space="preserve"> </w:t>
      </w:r>
      <w:r>
        <w:t xml:space="preserve">Global Aerospace Solutions Division</w:t>
      </w:r>
    </w:p>
    <w:p>
      <w:pPr>
        <w:pStyle w:val="BodyText"/>
      </w:pPr>
      <w:r>
        <w:rPr>
          <w:bCs/>
          <w:b/>
        </w:rPr>
        <w:t xml:space="preserve">Date:</w:t>
      </w:r>
      <w:r>
        <w:t xml:space="preserve"> </w:t>
      </w:r>
      <w:r>
        <w:t xml:space="preserve">October 26, 2023</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Opportunities for Aerospace Engineering Services in Abu Dhabi</dc:title>
  <dc:creator/>
  <dc:language>en</dc:language>
  <cp:keywords/>
  <dcterms:created xsi:type="dcterms:W3CDTF">2025-12-12T02:51:22Z</dcterms:created>
  <dcterms:modified xsi:type="dcterms:W3CDTF">2025-12-12T02:51:22Z</dcterms:modified>
</cp:coreProperties>
</file>

<file path=docProps/custom.xml><?xml version="1.0" encoding="utf-8"?>
<Properties xmlns="http://schemas.openxmlformats.org/officeDocument/2006/custom-properties" xmlns:vt="http://schemas.openxmlformats.org/officeDocument/2006/docPropsVTypes"/>
</file>