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30" w:name="Xb52443f9c0ba0187b7319755cfe61fa566a415d"/>
    <w:p>
      <w:pPr>
        <w:pStyle w:val="Heading1"/>
      </w:pPr>
      <w:r>
        <w:t xml:space="preserve">Aerospace Engineering Sales Performance Report</w:t>
      </w:r>
      <w:r>
        <w:br/>
      </w:r>
      <w:r>
        <w:t xml:space="preserve">United Arab Emirates Dubai Market</w:t>
      </w:r>
    </w:p>
    <w:p>
      <w:pPr>
        <w:pStyle w:val="FirstParagraph"/>
      </w:pPr>
      <w:r>
        <w:t xml:space="preserve">Prepared for Strategic Leadership Team | Q3 2023 Quarterly Review</w:t>
      </w:r>
    </w:p>
    <w:bookmarkStart w:id="20" w:name="executive-summary"/>
    <w:p>
      <w:pPr>
        <w:pStyle w:val="Heading2"/>
      </w:pPr>
      <w:r>
        <w:t xml:space="preserve">Executive Summary</w:t>
      </w:r>
    </w:p>
    <w:p>
      <w:pPr>
        <w:pStyle w:val="FirstParagraph"/>
      </w:pPr>
      <w:r>
        <w:t xml:space="preserve">This comprehensive Sales Report details the pivotal role of Aerospace Engineers in driving revenue growth across Dubai's aerospace sector. With the United Arab Emirates positioning itself as a global aviation hub, our strategic focus on recruiting and deploying specialized Aerospace Engineers has yielded remarkable results. The Dubai market demonstrated 34% year-over-year sales expansion, directly attributable to engineering expertise enhancing client acquisition and project execution. This document underscores how Aerospace Engineering talent catalyzes our competitive advantage in the United Arab Emirates Dubai ecosystem.</w:t>
      </w:r>
    </w:p>
    <w:bookmarkEnd w:id="20"/>
    <w:bookmarkStart w:id="21" w:name="X11cc5b8af87e87ca43dc138c640dc2ffc443aa1"/>
    <w:p>
      <w:pPr>
        <w:pStyle w:val="Heading2"/>
      </w:pPr>
      <w:r>
        <w:t xml:space="preserve">Market Context: Dubai's Aerospace Evolution</w:t>
      </w:r>
    </w:p>
    <w:p>
      <w:pPr>
        <w:pStyle w:val="FirstParagraph"/>
      </w:pPr>
      <w:r>
        <w:t xml:space="preserve">Dubai's aerospace landscape has transformed dramatically since the launch of Vision 2030, with the United Arab Emirates establishing itself as a $4.2 billion aviation economy (UAE Federal Competitiveness and Statistics Authority, 2023). As global air traffic rebounds to pre-pandemic levels, Dubai International Airport operates at 95% capacity while Al Maktoum International expands its cargo facilities. This growth demands cutting-edge engineering solutions—making the Aerospace Engineer role indispensable to our sales pipeline. The Dubai Civil Aviation Authority's new drone integration framework and Emirates' A380 fleet modernization projects have created unprecedented demand for certified professionals who understand both technical specifications and regional market dynamics.</w:t>
      </w:r>
    </w:p>
    <w:bookmarkEnd w:id="21"/>
    <w:bookmarkStart w:id="24" w:name="X1c0a983230ca811a61eb6e52ea1649ed25f573f"/>
    <w:p>
      <w:pPr>
        <w:pStyle w:val="Heading2"/>
      </w:pPr>
      <w:r>
        <w:t xml:space="preserve">Sales Performance Analysis by Aerospace Engineer Integration</w:t>
      </w:r>
    </w:p>
    <w:bookmarkStart w:id="22" w:name="revenue-impact-of-engineering-talent"/>
    <w:p>
      <w:pPr>
        <w:pStyle w:val="Heading3"/>
      </w:pPr>
      <w:r>
        <w:t xml:space="preserve">Revenue Impact of Engineering Talent</w:t>
      </w:r>
    </w:p>
    <w:p>
      <w:pPr>
        <w:pStyle w:val="FirstParagraph"/>
      </w:pPr>
      <w:r>
        <w:t xml:space="preserve">Our data reveals a direct correlation between Aerospace Engineer deployment and sales conversion. Projects supported by dedicated engineering teams show:</w:t>
      </w:r>
    </w:p>
    <w:p>
      <w:pPr>
        <w:numPr>
          <w:ilvl w:val="0"/>
          <w:numId w:val="1001"/>
        </w:numPr>
        <w:pStyle w:val="Compact"/>
      </w:pPr>
      <w:r>
        <w:rPr>
          <w:bCs/>
          <w:b/>
        </w:rPr>
        <w:t xml:space="preserve">68% higher client retention</w:t>
      </w:r>
      <w:r>
        <w:t xml:space="preserve"> </w:t>
      </w:r>
      <w:r>
        <w:t xml:space="preserve">(vs. non-engineered projects) among Dubai-based aviation clients</w:t>
      </w:r>
    </w:p>
    <w:p>
      <w:pPr>
        <w:numPr>
          <w:ilvl w:val="0"/>
          <w:numId w:val="1001"/>
        </w:numPr>
        <w:pStyle w:val="Compact"/>
      </w:pPr>
      <w:r>
        <w:rPr>
          <w:bCs/>
          <w:b/>
        </w:rPr>
        <w:t xml:space="preserve">42% faster proposal turnaround</w:t>
      </w:r>
      <w:r>
        <w:t xml:space="preserve"> </w:t>
      </w:r>
      <w:r>
        <w:t xml:space="preserve">due to engineers' technical credibility during RFP processes</w:t>
      </w:r>
    </w:p>
    <w:p>
      <w:pPr>
        <w:numPr>
          <w:ilvl w:val="0"/>
          <w:numId w:val="1001"/>
        </w:numPr>
        <w:pStyle w:val="Compact"/>
      </w:pPr>
      <w:r>
        <w:rPr>
          <w:bCs/>
          <w:b/>
        </w:rPr>
        <w:t xml:space="preserve">Average deal size increase of $215,000</w:t>
      </w:r>
      <w:r>
        <w:t xml:space="preserve"> </w:t>
      </w:r>
      <w:r>
        <w:t xml:space="preserve">for solutions requiring engineering validation (e.g., drone logistics systems for Dubai Logistics Corridor)</w:t>
      </w:r>
    </w:p>
    <w:bookmarkEnd w:id="22"/>
    <w:bookmarkStart w:id="23" w:name="key-client-acquisition-metrics"/>
    <w:p>
      <w:pPr>
        <w:pStyle w:val="Heading3"/>
      </w:pPr>
      <w:r>
        <w:t xml:space="preserve">Key Client Acquisition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2022 Sales (AED)</w:t>
            </w:r>
          </w:p>
        </w:tc>
        <w:tc>
          <w:tcPr/>
          <w:p>
            <w:pPr>
              <w:pStyle w:val="Compact"/>
              <w:jc w:val="left"/>
            </w:pPr>
            <w:r>
              <w:t xml:space="preserve">2023 Sales (AED)</w:t>
            </w:r>
          </w:p>
        </w:tc>
        <w:tc>
          <w:tcPr/>
          <w:p>
            <w:pPr>
              <w:pStyle w:val="Compact"/>
              <w:jc w:val="left"/>
            </w:pPr>
            <w:r>
              <w:t xml:space="preserve">% Increase</w:t>
            </w:r>
          </w:p>
        </w:tc>
      </w:tr>
      <w:tr>
        <w:tc>
          <w:tcPr/>
          <w:p>
            <w:pPr>
              <w:pStyle w:val="Compact"/>
              <w:jc w:val="left"/>
            </w:pPr>
            <w:r>
              <w:t xml:space="preserve">Dubai Airports Authority</w:t>
            </w:r>
          </w:p>
        </w:tc>
        <w:tc>
          <w:tcPr/>
          <w:p>
            <w:pPr>
              <w:pStyle w:val="Compact"/>
              <w:jc w:val="left"/>
            </w:pPr>
            <w:r>
              <w:t xml:space="preserve">4.2M</w:t>
            </w:r>
          </w:p>
        </w:tc>
        <w:tc>
          <w:tcPr/>
          <w:p>
            <w:pPr>
              <w:pStyle w:val="Compact"/>
              <w:jc w:val="left"/>
            </w:pPr>
            <w:r>
              <w:t xml:space="preserve">6.8M</w:t>
            </w:r>
          </w:p>
        </w:tc>
        <w:tc>
          <w:tcPr/>
          <w:p>
            <w:pPr>
              <w:pStyle w:val="Compact"/>
              <w:jc w:val="left"/>
            </w:pPr>
            <w:r>
              <w:t xml:space="preserve">61.9%</w:t>
            </w:r>
          </w:p>
        </w:tc>
      </w:tr>
      <w:tr>
        <w:tc>
          <w:tcPr/>
          <w:p>
            <w:pPr>
              <w:pStyle w:val="Compact"/>
              <w:jc w:val="left"/>
            </w:pPr>
            <w:r>
              <w:t xml:space="preserve">Middle East Airlines Consortium</w:t>
            </w:r>
          </w:p>
        </w:tc>
        <w:tc>
          <w:tcPr/>
          <w:p>
            <w:pPr>
              <w:pStyle w:val="Compact"/>
              <w:jc w:val="left"/>
            </w:pPr>
            <w:r>
              <w:t xml:space="preserve">3.5M</w:t>
            </w:r>
          </w:p>
        </w:tc>
        <w:tc>
          <w:tcPr/>
          <w:p>
            <w:pPr>
              <w:pStyle w:val="Compact"/>
              <w:jc w:val="left"/>
            </w:pPr>
            <w:r>
              <w:t xml:space="preserve">5.9M</w:t>
            </w:r>
          </w:p>
        </w:tc>
        <w:tc>
          <w:tcPr/>
          <w:p>
            <w:pPr>
              <w:pStyle w:val="Compact"/>
              <w:jc w:val="left"/>
            </w:pPr>
            <w:r>
              <w:t xml:space="preserve">68.6%</w:t>
            </w:r>
          </w:p>
        </w:tc>
      </w:tr>
      <w:tr>
        <w:tc>
          <w:tcPr/>
          <w:p>
            <w:pPr>
              <w:pStyle w:val="Compact"/>
              <w:jc w:val="left"/>
            </w:pPr>
            <w:r>
              <w:t xml:space="preserve">Dubai Future Accelerators (Drone Division)</w:t>
            </w:r>
          </w:p>
        </w:tc>
        <w:tc>
          <w:tcPr/>
          <w:p>
            <w:pPr>
              <w:pStyle w:val="Compact"/>
              <w:jc w:val="left"/>
            </w:pPr>
            <w:r>
              <w:t xml:space="preserve">1.8M</w:t>
            </w:r>
          </w:p>
        </w:tc>
        <w:tc>
          <w:tcPr/>
          <w:p>
            <w:pPr>
              <w:pStyle w:val="Compact"/>
              <w:jc w:val="left"/>
            </w:pPr>
            <w:r>
              <w:t xml:space="preserve">4.3M</w:t>
            </w:r>
          </w:p>
        </w:tc>
        <w:tc>
          <w:tcPr/>
          <w:p>
            <w:pPr>
              <w:pStyle w:val="Compact"/>
              <w:jc w:val="left"/>
            </w:pPr>
            <w:r>
              <w:t xml:space="preserve">138.9%</w:t>
            </w:r>
          </w:p>
        </w:tc>
      </w:tr>
    </w:tbl>
    <w:bookmarkEnd w:id="23"/>
    <w:bookmarkEnd w:id="24"/>
    <w:bookmarkStart w:id="25" w:name="X805459e2c77eff695024e615e4dcb78e13b2cf4"/>
    <w:p>
      <w:pPr>
        <w:pStyle w:val="Heading2"/>
      </w:pPr>
      <w:r>
        <w:t xml:space="preserve">Case Study: Emirates SkyCargo Drone Network</w:t>
      </w:r>
    </w:p>
    <w:p>
      <w:pPr>
        <w:pStyle w:val="FirstParagraph"/>
      </w:pPr>
      <w:r>
        <w:t xml:space="preserve">Our most significant sales win in Q3 was securing a $7.2M contract with Emirates SkyCargo for the Dubai-based drone logistics network. The pivotal moment occurred during a technical workshop where our Aerospace Engineer presented real-time aerodynamic simulations of drone operations within Dubai's urban environment, addressing critical concerns about airspace integration and thermal management at 45°C desert temperatures. This engineering demonstration directly converted a hesitant prospect into a multi-year partnership—evidence that technical expertise is non-negotiable in Dubai's sales landscape.</w:t>
      </w:r>
    </w:p>
    <w:bookmarkEnd w:id="25"/>
    <w:bookmarkStart w:id="26" w:name="Xb7bc2e83ce9c53a5ace102b480d69f120a7099b"/>
    <w:p>
      <w:pPr>
        <w:pStyle w:val="Heading2"/>
      </w:pPr>
      <w:r>
        <w:t xml:space="preserve">Strategic Advantages of Aerospace Engineer-Driven Sales</w:t>
      </w:r>
    </w:p>
    <w:p>
      <w:pPr>
        <w:pStyle w:val="FirstParagraph"/>
      </w:pPr>
      <w:r>
        <w:t xml:space="preserve">In the competitive United Arab Emirates Dubai market, our Aerospace Engineers provide irreplaceable value:</w:t>
      </w:r>
    </w:p>
    <w:p>
      <w:pPr>
        <w:numPr>
          <w:ilvl w:val="0"/>
          <w:numId w:val="1002"/>
        </w:numPr>
        <w:pStyle w:val="Compact"/>
      </w:pPr>
      <w:r>
        <w:rPr>
          <w:bCs/>
          <w:b/>
        </w:rPr>
        <w:t xml:space="preserve">Regulatory Navigation:</w:t>
      </w:r>
      <w:r>
        <w:t xml:space="preserve"> </w:t>
      </w:r>
      <w:r>
        <w:t xml:space="preserve">Local knowledge of Dubai Civil Aviation Authority (DCAA) certification processes accelerates project timelines by 4-6 weeks</w:t>
      </w:r>
    </w:p>
    <w:p>
      <w:pPr>
        <w:numPr>
          <w:ilvl w:val="0"/>
          <w:numId w:val="1002"/>
        </w:numPr>
        <w:pStyle w:val="Compact"/>
      </w:pPr>
      <w:r>
        <w:rPr>
          <w:bCs/>
          <w:b/>
        </w:rPr>
        <w:t xml:space="preserve">Cultural Alignment:</w:t>
      </w:r>
      <w:r>
        <w:t xml:space="preserve"> </w:t>
      </w:r>
      <w:r>
        <w:t xml:space="preserve">Engineers fluent in both technical jargon and Arabic business protocols build immediate trust with Emirati stakeholders</w:t>
      </w:r>
    </w:p>
    <w:p>
      <w:pPr>
        <w:numPr>
          <w:ilvl w:val="0"/>
          <w:numId w:val="1002"/>
        </w:numPr>
        <w:pStyle w:val="Compact"/>
      </w:pPr>
      <w:r>
        <w:rPr>
          <w:bCs/>
          <w:b/>
        </w:rPr>
        <w:t xml:space="preserve">Solution Customization:</w:t>
      </w:r>
      <w:r>
        <w:t xml:space="preserve"> </w:t>
      </w:r>
      <w:r>
        <w:t xml:space="preserve">Ability to modify global aerospace standards for Dubai's unique environmental conditions (sand erosion, humidity, extreme heat)</w:t>
      </w:r>
    </w:p>
    <w:p>
      <w:pPr>
        <w:numPr>
          <w:ilvl w:val="0"/>
          <w:numId w:val="1002"/>
        </w:numPr>
        <w:pStyle w:val="Compact"/>
      </w:pPr>
      <w:r>
        <w:rPr>
          <w:bCs/>
          <w:b/>
        </w:rPr>
        <w:t xml:space="preserve">Innovation Leadership:</w:t>
      </w:r>
      <w:r>
        <w:t xml:space="preserve"> </w:t>
      </w:r>
      <w:r>
        <w:t xml:space="preserve">87% of new client acquisitions cite our engineering capabilities as the decisive factor in selection</w:t>
      </w:r>
    </w:p>
    <w:bookmarkEnd w:id="26"/>
    <w:bookmarkStart w:id="27" w:name="challenges-and-market-specific-insights"/>
    <w:p>
      <w:pPr>
        <w:pStyle w:val="Heading2"/>
      </w:pPr>
      <w:r>
        <w:t xml:space="preserve">Challenges and Market-Specific Insights</w:t>
      </w:r>
    </w:p>
    <w:p>
      <w:pPr>
        <w:pStyle w:val="FirstParagraph"/>
      </w:pPr>
      <w:r>
        <w:t xml:space="preserve">Despite strong growth, Dubai's market presents unique hurdles. The UAE's rapid infrastructure development creates talent shortages—only 42% of local Aerospace Engineers hold the required certifications for government contracts. Additionally, client expectations for immediate project scalability (e.g., 18-month timelines for Dubai World Expo aerospace exhibits) demand exceptional engineering agility. Our sales team addresses this through our "Dubai Engineering Accelerator" program, which fast-tracks certification and connects engineers with local training partners like the Mohammed Bin Rashid Space Centre.</w:t>
      </w:r>
    </w:p>
    <w:bookmarkEnd w:id="27"/>
    <w:bookmarkStart w:id="28" w:name="forward-looking-recommendations"/>
    <w:p>
      <w:pPr>
        <w:pStyle w:val="Heading2"/>
      </w:pPr>
      <w:r>
        <w:t xml:space="preserve">Forward-Looking Recommendations</w:t>
      </w:r>
    </w:p>
    <w:p>
      <w:pPr>
        <w:pStyle w:val="FirstParagraph"/>
      </w:pPr>
      <w:r>
        <w:t xml:space="preserve">To maintain our leadership in the United Arab Emirates Dubai aerospace sales arena, we recommend:</w:t>
      </w:r>
    </w:p>
    <w:p>
      <w:pPr>
        <w:numPr>
          <w:ilvl w:val="0"/>
          <w:numId w:val="1003"/>
        </w:numPr>
        <w:pStyle w:val="Compact"/>
      </w:pPr>
      <w:r>
        <w:rPr>
          <w:bCs/>
          <w:b/>
        </w:rPr>
        <w:t xml:space="preserve">Expand Local Engineering Partnerships:</w:t>
      </w:r>
      <w:r>
        <w:t xml:space="preserve"> </w:t>
      </w:r>
      <w:r>
        <w:t xml:space="preserve">Forge alliances with UAE universities (e.g., Khalifa University, American University of Sharjah) to establish a dedicated Aerospace Engineer talent pipeline</w:t>
      </w:r>
    </w:p>
    <w:p>
      <w:pPr>
        <w:numPr>
          <w:ilvl w:val="0"/>
          <w:numId w:val="1003"/>
        </w:numPr>
        <w:pStyle w:val="Compact"/>
      </w:pPr>
      <w:r>
        <w:rPr>
          <w:bCs/>
          <w:b/>
        </w:rPr>
        <w:t xml:space="preserve">Develop Dubai-Specific Technical Dossiers:</w:t>
      </w:r>
      <w:r>
        <w:t xml:space="preserve"> </w:t>
      </w:r>
      <w:r>
        <w:t xml:space="preserve">Create engineering case studies focused on desert climate adaptation for sales collateral targeting government projects</w:t>
      </w:r>
    </w:p>
    <w:p>
      <w:pPr>
        <w:numPr>
          <w:ilvl w:val="0"/>
          <w:numId w:val="1003"/>
        </w:numPr>
        <w:pStyle w:val="Compact"/>
      </w:pPr>
      <w:r>
        <w:rPr>
          <w:bCs/>
          <w:b/>
        </w:rPr>
        <w:t xml:space="preserve">Implement AI-Powered Sales Analytics:</w:t>
      </w:r>
      <w:r>
        <w:t xml:space="preserve"> </w:t>
      </w:r>
      <w:r>
        <w:t xml:space="preserve">Integrate engineering data with CRM to predict client needs (e.g., forecasting demand for drone maintenance systems during Dubai's summer months)</w:t>
      </w:r>
    </w:p>
    <w:p>
      <w:pPr>
        <w:numPr>
          <w:ilvl w:val="0"/>
          <w:numId w:val="1003"/>
        </w:numPr>
        <w:pStyle w:val="Compact"/>
      </w:pPr>
      <w:r>
        <w:rPr>
          <w:bCs/>
          <w:b/>
        </w:rPr>
        <w:t xml:space="preserve">Launch "Dubai Aerospace Insight" Series:</w:t>
      </w:r>
      <w:r>
        <w:t xml:space="preserve"> </w:t>
      </w:r>
      <w:r>
        <w:t xml:space="preserve">Host quarterly technical briefings for clients featuring our engineers discussing regional challenges like sand-resistant propulsion systems</w:t>
      </w:r>
    </w:p>
    <w:bookmarkEnd w:id="28"/>
    <w:bookmarkStart w:id="29" w:name="conclusion"/>
    <w:p>
      <w:pPr>
        <w:pStyle w:val="Heading2"/>
      </w:pPr>
      <w:r>
        <w:t xml:space="preserve">Conclusion</w:t>
      </w:r>
    </w:p>
    <w:p>
      <w:pPr>
        <w:pStyle w:val="FirstParagraph"/>
      </w:pPr>
      <w:r>
        <w:t xml:space="preserve">The Sales Report confirms that Aerospace Engineers are not merely technical assets but strategic revenue drivers in the United Arab Emirates Dubai market. As Dubai accelerates its transformation into a $15 billion aviation hub by 2030, our engineering talent directly enables us to capture share in high-value contracts across airport operations, unmanned systems, and sustainable aviation initiatives. By embedding Aerospace Engineers into every sales engagement—rather than treating them as afterthoughts—we've established an unassailable competitive edge. The data is clear: Every dollar invested in specialized aerospace engineering talent yields a 7.3x return in Dubai market revenue generation.</w:t>
      </w:r>
    </w:p>
    <w:p>
      <w:pPr>
        <w:pStyle w:val="BodyText"/>
      </w:pPr>
      <w:r>
        <w:t xml:space="preserve">"In the sky-high competition of Dubai, our engineers don't just build solutions—they land contracts."</w:t>
      </w:r>
    </w:p>
    <w:p>
      <w:pPr>
        <w:pStyle w:val="BodyText"/>
      </w:pPr>
      <w:r>
        <w:t xml:space="preserve">Prepared by Global Aerospace Sales Intelligence Unit | Dubai Operations</w:t>
      </w:r>
    </w:p>
    <w:p>
      <w:pPr>
        <w:pStyle w:val="BodyText"/>
      </w:pPr>
      <w:r>
        <w:t xml:space="preserve">Date: October 27, 2023 | Confidential for UAE Leadership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United Arab Emirates Dubai Market</dc:title>
  <dc:creator/>
  <dc:language>en</dc:language>
  <cp:keywords/>
  <dcterms:created xsi:type="dcterms:W3CDTF">2026-07-23T14:30:57Z</dcterms:created>
  <dcterms:modified xsi:type="dcterms:W3CDTF">2026-07-23T14:30:57Z</dcterms:modified>
</cp:coreProperties>
</file>

<file path=docProps/custom.xml><?xml version="1.0" encoding="utf-8"?>
<Properties xmlns="http://schemas.openxmlformats.org/officeDocument/2006/custom-properties" xmlns:vt="http://schemas.openxmlformats.org/officeDocument/2006/docPropsVTypes"/>
</file>