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Sector</w:t>
      </w:r>
      <w:r>
        <w:t xml:space="preserve"> </w:t>
      </w:r>
      <w:r>
        <w:t xml:space="preserve">Performance</w:t>
      </w:r>
      <w:r>
        <w:t xml:space="preserve"> </w:t>
      </w:r>
      <w:r>
        <w:t xml:space="preserve">-</w:t>
      </w:r>
      <w:r>
        <w:t xml:space="preserve"> </w:t>
      </w:r>
      <w:r>
        <w:t xml:space="preserve">United</w:t>
      </w:r>
      <w:r>
        <w:t xml:space="preserve"> </w:t>
      </w:r>
      <w:r>
        <w:t xml:space="preserve">Kingdom</w:t>
      </w:r>
      <w:r>
        <w:t xml:space="preserve"> </w:t>
      </w:r>
      <w:r>
        <w:t xml:space="preserve">Manchester</w:t>
      </w:r>
    </w:p>
    <w:bookmarkStart w:id="27" w:name="Xcaefca4f90a4c5c2898b3536721d004c049e3f9"/>
    <w:p>
      <w:pPr>
        <w:pStyle w:val="Heading1"/>
      </w:pPr>
      <w:r>
        <w:t xml:space="preserve">Sales Report: Comprehensive Analysis of Aerospace Engineering Market Performance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Manchester Aerospace Cluster</w:t>
      </w:r>
      <w:r>
        <w:br/>
      </w:r>
      <w:r>
        <w:rPr>
          <w:bCs/>
          <w:b/>
        </w:rPr>
        <w:t xml:space="preserve">Prepared By:</w:t>
      </w:r>
      <w:r>
        <w:t xml:space="preserve"> </w:t>
      </w:r>
      <w:r>
        <w:t xml:space="preserve">Strategic Market Intelligence Division, United Kingdom Aerospace Council</w:t>
      </w:r>
    </w:p>
    <w:bookmarkStart w:id="20" w:name="i.-executive-summary"/>
    <w:p>
      <w:pPr>
        <w:pStyle w:val="Heading2"/>
      </w:pPr>
      <w:r>
        <w:t xml:space="preserve">I. Executive Summary</w:t>
      </w:r>
    </w:p>
    <w:p>
      <w:pPr>
        <w:pStyle w:val="FirstParagraph"/>
      </w:pPr>
      <w:r>
        <w:t xml:space="preserve">This Sales Report provides a detailed assessment of the aerospace engineering sector's commercial performance within the United Kingdom Manchester region. As a pivotal hub for advanced manufacturing and innovation, Manchester continues to demonstrate exceptional growth in aerospace-related sales, driven by strategic investments in next-generation propulsion systems, sustainable aviation technologies, and defense applications. The report confirms that Aerospace Engineers operating across Manchester-based facilities are directly contributing to a 17.3% year-on-year increase in sector revenue, totaling £2.84 billion for Q3 2023 alone. This performance underscores Manchester's position as the second-largest aerospace cluster in the United Kingdom, trailing only London but surpassing all regional competitors in innovation-driven sales growth.</w:t>
      </w:r>
    </w:p>
    <w:bookmarkEnd w:id="20"/>
    <w:bookmarkStart w:id="21" w:name="ii.-market-performance-overview"/>
    <w:p>
      <w:pPr>
        <w:pStyle w:val="Heading2"/>
      </w:pPr>
      <w:r>
        <w:t xml:space="preserve">II. Market Performance Overview</w:t>
      </w:r>
    </w:p>
    <w:p>
      <w:pPr>
        <w:pStyle w:val="FirstParagraph"/>
      </w:pPr>
      <w:r>
        <w:t xml:space="preserve">The United Kingdom Manchester aerospace sector has achieved unprecedented commercial momentum through specialized engineering excellence. Key sales metrics reveal:</w:t>
      </w:r>
    </w:p>
    <w:p>
      <w:pPr>
        <w:numPr>
          <w:ilvl w:val="0"/>
          <w:numId w:val="1001"/>
        </w:numPr>
        <w:pStyle w:val="Compact"/>
      </w:pPr>
      <w:r>
        <w:rPr>
          <w:bCs/>
          <w:b/>
        </w:rPr>
        <w:t xml:space="preserve">Revenue Growth:</w:t>
      </w:r>
      <w:r>
        <w:t xml:space="preserve"> </w:t>
      </w:r>
      <w:r>
        <w:t xml:space="preserve">£486 million in Q3 2023 (17.3% YoY increase), with Manchester contributing 22% of the UK's total aerospace export revenue</w:t>
      </w:r>
    </w:p>
    <w:p>
      <w:pPr>
        <w:numPr>
          <w:ilvl w:val="0"/>
          <w:numId w:val="1001"/>
        </w:numPr>
        <w:pStyle w:val="Compact"/>
      </w:pPr>
      <w:r>
        <w:rPr>
          <w:bCs/>
          <w:b/>
        </w:rPr>
        <w:t xml:space="preserve">New Contracts:</w:t>
      </w:r>
      <w:r>
        <w:t xml:space="preserve"> </w:t>
      </w:r>
      <w:r>
        <w:t xml:space="preserve">47 major contracts secured in Q3, including £189M with global aviation manufacturers and £67M with Ministry of Defence programs</w:t>
      </w:r>
    </w:p>
    <w:p>
      <w:pPr>
        <w:numPr>
          <w:ilvl w:val="0"/>
          <w:numId w:val="1001"/>
        </w:numPr>
        <w:pStyle w:val="Compact"/>
      </w:pPr>
      <w:r>
        <w:rPr>
          <w:bCs/>
          <w:b/>
        </w:rPr>
        <w:t xml:space="preserve">Diversity of Engineering Output:</w:t>
      </w:r>
      <w:r>
        <w:t xml:space="preserve"> </w:t>
      </w:r>
      <w:r>
        <w:t xml:space="preserve">62% of sales derived from custom aerospace engineering solutions (vs. standard components), directly attributable to Manchester's specialized Aerospace Engineer talent pool</w:t>
      </w:r>
    </w:p>
    <w:p>
      <w:pPr>
        <w:pStyle w:val="FirstParagraph"/>
      </w:pPr>
      <w:r>
        <w:t xml:space="preserve">Manchester's unique competitive advantage lies in its concentration of world-class Aerospace Engineers collaborating with institutions like the University of Manchester and the National Graphene Institute. This ecosystem has enabled rapid prototyping and certification of advanced materials, directly driving sales growth in high-margin segments including electric propulsion systems (31% market share) and AI-integrated flight control systems (24% market share).</w:t>
      </w:r>
    </w:p>
    <w:bookmarkEnd w:id="21"/>
    <w:bookmarkStart w:id="22" w:name="X2c967742b45d7a03f87011c0fc6098d6abf5a18"/>
    <w:p>
      <w:pPr>
        <w:pStyle w:val="Heading2"/>
      </w:pPr>
      <w:r>
        <w:t xml:space="preserve">III. Key Sales Drivers: The Aerospace Engineer's Commercial Impact</w:t>
      </w:r>
    </w:p>
    <w:p>
      <w:pPr>
        <w:pStyle w:val="FirstParagraph"/>
      </w:pPr>
      <w:r>
        <w:t xml:space="preserve">The transformation from engineering capability to commercial success is clearly defined in Manchester's sales pipeline. Our analysis identifies three critical revenue-generating functions performed by the region's Aerospace Engineers:</w:t>
      </w:r>
    </w:p>
    <w:p>
      <w:pPr>
        <w:numPr>
          <w:ilvl w:val="0"/>
          <w:numId w:val="1002"/>
        </w:numPr>
        <w:pStyle w:val="Compact"/>
      </w:pPr>
      <w:r>
        <w:rPr>
          <w:bCs/>
          <w:b/>
        </w:rPr>
        <w:t xml:space="preserve">Product Differentiation:</w:t>
      </w:r>
      <w:r>
        <w:t xml:space="preserve"> </w:t>
      </w:r>
      <w:r>
        <w:t xml:space="preserve">Manchester-based Aerospace Engineers developed proprietary composite materials reducing aircraft weight by 18%, securing premium pricing for BAE Systems' Tornado sustainment program (£74M contract). This innovation directly enabled a 22% higher profit margin versus industry average.</w:t>
      </w:r>
    </w:p>
    <w:p>
      <w:pPr>
        <w:numPr>
          <w:ilvl w:val="0"/>
          <w:numId w:val="1002"/>
        </w:numPr>
        <w:pStyle w:val="Compact"/>
      </w:pPr>
      <w:r>
        <w:rPr>
          <w:bCs/>
          <w:b/>
        </w:rPr>
        <w:t xml:space="preserve">Sustainability Solutions:</w:t>
      </w:r>
      <w:r>
        <w:t xml:space="preserve"> </w:t>
      </w:r>
      <w:r>
        <w:t xml:space="preserve">With UK net-zero commitments accelerating, Aerospace Engineers in Manchester spearheaded the "Green Wing" initiative – certified sustainable wing components now account for 38% of all regional aerospace sales (£1.08B), up from 19% in 2021.</w:t>
      </w:r>
    </w:p>
    <w:p>
      <w:pPr>
        <w:numPr>
          <w:ilvl w:val="0"/>
          <w:numId w:val="1002"/>
        </w:numPr>
        <w:pStyle w:val="Compact"/>
      </w:pPr>
      <w:r>
        <w:rPr>
          <w:bCs/>
          <w:b/>
        </w:rPr>
        <w:t xml:space="preserve">Defense Innovation:</w:t>
      </w:r>
      <w:r>
        <w:t xml:space="preserve"> </w:t>
      </w:r>
      <w:r>
        <w:t xml:space="preserve">The rapid development of drone swarm technology by Manchester-based engineers secured a £45M MoD contract within six months, demonstrating how technical expertise converts directly to sales velocity. This project reduced time-to-market by 40% compared to national averages.</w:t>
      </w:r>
    </w:p>
    <w:bookmarkEnd w:id="22"/>
    <w:bookmarkStart w:id="23" w:name="iv.-regional-competitive-landscape"/>
    <w:p>
      <w:pPr>
        <w:pStyle w:val="Heading2"/>
      </w:pPr>
      <w:r>
        <w:t xml:space="preserve">IV. Regional Competitive Landscape</w:t>
      </w:r>
    </w:p>
    <w:p>
      <w:pPr>
        <w:pStyle w:val="FirstParagraph"/>
      </w:pPr>
      <w:r>
        <w:t xml:space="preserve">Manchester's position in the United Kingdom aerospace market continues to strengthen against key competitors:</w:t>
      </w:r>
    </w:p>
    <w:p>
      <w:pPr>
        <w:pStyle w:val="BodyText"/>
      </w:pPr>
      <w:r>
        <w:t xml:space="preserve">Region</w:t>
      </w:r>
    </w:p>
    <w:p>
      <w:pPr>
        <w:pStyle w:val="BodyText"/>
      </w:pPr>
      <w:r>
        <w:t xml:space="preserve">Aerospace Revenue (2023)</w:t>
      </w:r>
    </w:p>
    <w:p>
      <w:pPr>
        <w:pStyle w:val="BodyText"/>
      </w:pPr>
      <w:r>
        <w:t xml:space="preserve">Growth Rate (YoY)</w:t>
      </w:r>
    </w:p>
    <w:p>
      <w:pPr>
        <w:pStyle w:val="BodyText"/>
      </w:pPr>
      <w:r>
        <w:t xml:space="preserve">Key Engineering Advantage</w:t>
      </w:r>
    </w:p>
    <w:p>
      <w:pPr>
        <w:pStyle w:val="BodyText"/>
      </w:pPr>
      <w:r>
        <w:t xml:space="preserve">Manchester, United Kingdom</w:t>
      </w:r>
    </w:p>
    <w:p>
      <w:pPr>
        <w:pStyle w:val="BodyText"/>
      </w:pPr>
      <w:r>
        <w:t xml:space="preserve">£2.84B</w:t>
      </w:r>
    </w:p>
    <w:p>
      <w:pPr>
        <w:pStyle w:val="BodyText"/>
      </w:pPr>
      <w:r>
        <w:t xml:space="preserve">+17.3%</w:t>
      </w:r>
    </w:p>
    <w:p>
      <w:pPr>
        <w:pStyle w:val="BodyText"/>
      </w:pPr>
      <w:r>
        <w:t xml:space="preserve">Precision manufacturing + sustainable tech integration</w:t>
      </w:r>
    </w:p>
    <w:p>
      <w:pPr>
        <w:pStyle w:val="BodyText"/>
      </w:pPr>
      <w:r>
        <w:t xml:space="preserve">London, United Kingdom</w:t>
      </w:r>
    </w:p>
    <w:p>
      <w:pPr>
        <w:pStyle w:val="BodyText"/>
      </w:pPr>
      <w:r>
        <w:t xml:space="preserve">£3.12B</w:t>
      </w:r>
    </w:p>
    <w:p>
      <w:pPr>
        <w:pStyle w:val="BodyText"/>
      </w:pPr>
      <w:r>
        <w:t xml:space="preserve">While London maintains higher absolute revenue, Manchester's growth rate outpaces the national average by 5.8 percentage points. This momentum is fueled by targeted government incentives like the "Manchester Aerospace Advantage" grant scheme, which has leveraged £42M in private investment to date – all channeled through Aerospace Engineer-led R&amp;D projects.</w:t>
      </w:r>
    </w:p>
    <w:bookmarkEnd w:id="23"/>
    <w:bookmarkStart w:id="24" w:name="v.-sales-channel-analysis"/>
    <w:p>
      <w:pPr>
        <w:pStyle w:val="Heading2"/>
      </w:pPr>
      <w:r>
        <w:t xml:space="preserve">V. Sales Channel Analysis</w:t>
      </w:r>
    </w:p>
    <w:p>
      <w:pPr>
        <w:pStyle w:val="FirstParagraph"/>
      </w:pPr>
      <w:r>
        <w:t xml:space="preserve">Our data reveals that Manchester's sales strategy uniquely integrates engineering excellence with commercial execution:</w:t>
      </w:r>
    </w:p>
    <w:p>
      <w:pPr>
        <w:numPr>
          <w:ilvl w:val="0"/>
          <w:numId w:val="1003"/>
        </w:numPr>
        <w:pStyle w:val="Compact"/>
      </w:pPr>
      <w:r>
        <w:rPr>
          <w:bCs/>
          <w:b/>
        </w:rPr>
        <w:t xml:space="preserve">Direct Sales (41% of revenue):</w:t>
      </w:r>
      <w:r>
        <w:t xml:space="preserve"> </w:t>
      </w:r>
      <w:r>
        <w:t xml:space="preserve">Aerospace Engineers serve as technical account managers for Tier 1 clients (e.g., Airbus, Boeing), enabling complex solution-selling where engineering expertise directly influences contract terms and pricing.</w:t>
      </w:r>
    </w:p>
    <w:p>
      <w:pPr>
        <w:numPr>
          <w:ilvl w:val="0"/>
          <w:numId w:val="1003"/>
        </w:numPr>
        <w:pStyle w:val="Compact"/>
      </w:pPr>
      <w:r>
        <w:rPr>
          <w:bCs/>
          <w:b/>
        </w:rPr>
        <w:t xml:space="preserve">Distributor Partnerships (33%):</w:t>
      </w:r>
      <w:r>
        <w:t xml:space="preserve"> </w:t>
      </w:r>
      <w:r>
        <w:t xml:space="preserve">Engineered solutions from Manchester facilities command 27% higher margins through strategic partnerships with global distributors due to proprietary technology patents held by local Aerospace Engineers.</w:t>
      </w:r>
    </w:p>
    <w:p>
      <w:pPr>
        <w:numPr>
          <w:ilvl w:val="0"/>
          <w:numId w:val="1003"/>
        </w:numPr>
        <w:pStyle w:val="Compact"/>
      </w:pPr>
      <w:r>
        <w:rPr>
          <w:bCs/>
          <w:b/>
        </w:rPr>
        <w:t xml:space="preserve">Export Sales (26%):</w:t>
      </w:r>
      <w:r>
        <w:t xml:space="preserve"> </w:t>
      </w:r>
      <w:r>
        <w:t xml:space="preserve">Manchester-based aerospace products now reach 47 countries, with export revenue growing at 23.5% YoY – significantly faster than the UK average of 14.1%. This is attributed to Aerospace Engineers' cultural intelligence in adapting solutions for global markets.</w:t>
      </w:r>
    </w:p>
    <w:bookmarkEnd w:id="24"/>
    <w:bookmarkStart w:id="25" w:name="X5c7156ed8219e838e21e81b816940a9d642acd4"/>
    <w:p>
      <w:pPr>
        <w:pStyle w:val="Heading2"/>
      </w:pPr>
      <w:r>
        <w:t xml:space="preserve">VI. Challenges and Strategic Recommendations</w:t>
      </w:r>
    </w:p>
    <w:p>
      <w:pPr>
        <w:pStyle w:val="FirstParagraph"/>
      </w:pPr>
      <w:r>
        <w:t xml:space="preserve">Despite strong performance, three critical challenges require immediate attention to sustain growth:</w:t>
      </w:r>
    </w:p>
    <w:p>
      <w:pPr>
        <w:numPr>
          <w:ilvl w:val="0"/>
          <w:numId w:val="1004"/>
        </w:numPr>
        <w:pStyle w:val="Compact"/>
      </w:pPr>
      <w:r>
        <w:rPr>
          <w:bCs/>
          <w:b/>
        </w:rPr>
        <w:t xml:space="preserve">Talent Pipeline:</w:t>
      </w:r>
      <w:r>
        <w:t xml:space="preserve"> </w:t>
      </w:r>
      <w:r>
        <w:t xml:space="preserve">68% of Manchester aerospace firms report difficulty recruiting mid-level Aerospace Engineers with AI/ML certification. We recommend expanding the University of Manchester's "Digital Aerospace" apprenticeship program with £5M industry co-investment.</w:t>
      </w:r>
    </w:p>
    <w:p>
      <w:pPr>
        <w:numPr>
          <w:ilvl w:val="0"/>
          <w:numId w:val="1004"/>
        </w:numPr>
        <w:pStyle w:val="Compact"/>
      </w:pPr>
      <w:r>
        <w:rPr>
          <w:bCs/>
          <w:b/>
        </w:rPr>
        <w:t xml:space="preserve">Supply Chain Vulnerabilities:</w:t>
      </w:r>
      <w:r>
        <w:t xml:space="preserve"> </w:t>
      </w:r>
      <w:r>
        <w:t xml:space="preserve">42% of Q3 revenue depends on imported composite materials facing EU tariff risks. Solution: Accelerate the "Manchester Materials Resilience Hub" initiative to develop domestic graphene-based alternatives.</w:t>
      </w:r>
    </w:p>
    <w:p>
      <w:pPr>
        <w:numPr>
          <w:ilvl w:val="0"/>
          <w:numId w:val="1004"/>
        </w:numPr>
        <w:pStyle w:val="Compact"/>
      </w:pPr>
      <w:r>
        <w:rPr>
          <w:bCs/>
          <w:b/>
        </w:rPr>
        <w:t xml:space="preserve">Sustainability Compliance:</w:t>
      </w:r>
      <w:r>
        <w:t xml:space="preserve"> </w:t>
      </w:r>
      <w:r>
        <w:t xml:space="preserve">New EU regulations require 75% carbon-neutral components by 2026. Aerospace Engineers must lead cross-sector collaboration to meet this deadline – currently only 31% of Manchester firms have full roadmap alignment.</w:t>
      </w:r>
    </w:p>
    <w:bookmarkEnd w:id="25"/>
    <w:bookmarkStart w:id="26" w:name="Xf005b0ca89cacbbef2828cd5d80de74ca7a4b24"/>
    <w:p>
      <w:pPr>
        <w:pStyle w:val="Heading2"/>
      </w:pPr>
      <w:r>
        <w:t xml:space="preserve">VII. Conclusion: The Future Sales Trajectory</w:t>
      </w:r>
    </w:p>
    <w:p>
      <w:pPr>
        <w:pStyle w:val="FirstParagraph"/>
      </w:pPr>
      <w:r>
        <w:t xml:space="preserve">The United Kingdom Manchester aerospace sector has proven that engineering excellence directly translates to commercial dominance. As evidenced by this Sales Report, the region's Aerospace Engineers are not merely technical staff but strategic revenue drivers whose innovations consistently outperform national benchmarks. With Manchester's current sales trajectory, we project the local aerospace economy will surpass £4B annually by 2025 – representing 35% of all UK aerospace exports from regional clusters.</w:t>
      </w:r>
    </w:p>
    <w:p>
      <w:pPr>
        <w:pStyle w:val="BodyText"/>
      </w:pPr>
      <w:r>
        <w:t xml:space="preserve">For the United Kingdom as a whole, Manchester serves as the critical innovation engine for next-generation aviation. Our final recommendation is to establish a permanent "Aerospace Engineer Sales Acceleration Fund" within the Department for Business and Trade, allocating £120M annually to scale proven engineering-to-sales pathways we've documented in this report. This investment will secure Manchester's leadership in delivering the UK's aerospace export strategy while creating 8,500 high-value jobs by 2027.</w:t>
      </w:r>
    </w:p>
    <w:p>
      <w:pPr>
        <w:pStyle w:val="BodyText"/>
      </w:pPr>
      <w:r>
        <w:t xml:space="preserve">As the global aerospace industry evolves toward sustainable, autonomous systems, United Kingdom Manchester – led by its world-class Aerospace Engineers – is positioned not just to participate but to define the future of commercial aviation. This Sales Report confirms that engineering excellence remains Manchester's most valuable sales asset.</w:t>
      </w:r>
    </w:p>
    <w:p>
      <w:pPr>
        <w:pStyle w:val="BodyText"/>
      </w:pPr>
      <w:r>
        <w:rPr>
          <w:bCs/>
          <w:b/>
        </w:rPr>
        <w:t xml:space="preserve">Appendix:</w:t>
      </w:r>
      <w:r>
        <w:t xml:space="preserve"> </w:t>
      </w:r>
      <w:r>
        <w:t xml:space="preserve">Full financial datasets and client success stories available at www.ukaerospaceclustering.co.uk/manchester-sales</w:t>
      </w:r>
    </w:p>
    <w:p>
      <w:pPr>
        <w:pStyle w:val="BodyText"/>
      </w:pPr>
      <w:r>
        <w:rPr>
          <w:bCs/>
          <w:b/>
        </w:rPr>
        <w:t xml:space="preserve">Confidential:</w:t>
      </w:r>
      <w:r>
        <w:t xml:space="preserve"> </w:t>
      </w:r>
      <w:r>
        <w:t xml:space="preserve">This Sales Report contains proprietary market intelligence from the United Kingdom Aerospace Council. Distribution restricted to authorized personnel only.</w:t>
      </w:r>
    </w:p>
    <w:p>
      <w:pPr>
        <w:pStyle w:val="BodyText"/>
      </w:pPr>
      <w:r>
        <w:t xml:space="preserve">© 2023 United Kingdom Aerospace Council. All rights reserved. Manchester, United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Sector Performance - United Kingdom Manchester</dc:title>
  <dc:creator/>
  <dc:language>en</dc:language>
  <cp:keywords/>
  <dcterms:created xsi:type="dcterms:W3CDTF">2025-12-09T20:13:32Z</dcterms:created>
  <dcterms:modified xsi:type="dcterms:W3CDTF">2025-12-09T20:13:32Z</dcterms:modified>
</cp:coreProperties>
</file>

<file path=docProps/custom.xml><?xml version="1.0" encoding="utf-8"?>
<Properties xmlns="http://schemas.openxmlformats.org/officeDocument/2006/custom-properties" xmlns:vt="http://schemas.openxmlformats.org/officeDocument/2006/docPropsVTypes"/>
</file>