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6023387dff8bbb949c03e90b8cdeba8b950821"/>
    <w:p>
      <w:pPr>
        <w:pStyle w:val="Heading1"/>
      </w:pPr>
      <w:r>
        <w:t xml:space="preserve">2023 Fourth Quarter Sales Report: Advancing Aerospace Innovation in United States Chicago</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Board of Directors</w:t>
      </w:r>
      <w:r>
        <w:br/>
      </w:r>
      <w:r>
        <w:rPr>
          <w:bCs/>
          <w:b/>
        </w:rPr>
        <w:t xml:space="preserve">Purpose:</w:t>
      </w:r>
      <w:r>
        <w:t xml:space="preserve"> </w:t>
      </w:r>
      <w:r>
        <w:t xml:space="preserve">Comprehensive Analysis of Aerospace Engineering Sales Performance in Chicago Metropolitan Area</w:t>
      </w:r>
    </w:p>
    <w:bookmarkStart w:id="20" w:name="i.-executive-summary"/>
    <w:p>
      <w:pPr>
        <w:pStyle w:val="Heading2"/>
      </w:pPr>
      <w:r>
        <w:t xml:space="preserve">I. Executive Summary</w:t>
      </w:r>
    </w:p>
    <w:p>
      <w:pPr>
        <w:pStyle w:val="FirstParagraph"/>
      </w:pPr>
      <w:r>
        <w:t xml:space="preserve">This Sales Report details the robust performance of our aerospace engineering solutions across the United States Chicago market during Q4 2023. With Chicago serving as a pivotal hub for aerospace innovation within the Midwest, our division achieved a remarkable 18% year-over-year revenue growth, reaching $47.8 million in sales volume. This success directly correlates with strategic investments in local Aerospace Engineer talent and infrastructure, solidifying our position as a leading engineering solutions provider for major players in the United States aerospace ecosystem. The Chicago market demonstrated exceptional resilience and growth potential, particularly through our specialized engineering services supporting commercial aviation and defense contractors.</w:t>
      </w:r>
    </w:p>
    <w:bookmarkEnd w:id="20"/>
    <w:bookmarkStart w:id="21" w:name="Xe1d5f5af11a7a896469b52218d013906461b813"/>
    <w:p>
      <w:pPr>
        <w:pStyle w:val="Heading2"/>
      </w:pPr>
      <w:r>
        <w:t xml:space="preserve">II. Market Context: United States Chicago's Aerospace Landscape</w:t>
      </w:r>
    </w:p>
    <w:p>
      <w:pPr>
        <w:pStyle w:val="FirstParagraph"/>
      </w:pPr>
      <w:r>
        <w:t xml:space="preserve">Chicago's strategic location as a global transportation nexus – hosting O'Hare International Airport (the world's busiest for passenger traffic) and the headquarters of major carriers like United Airlines – creates unparalleled demand for cutting-edge aerospace engineering services. The city boasts a concentrated ecosystem of 147 aerospace-related firms, including Boeing subsidiaries, GE Aviation facilities, and over 20 specialized engineering consultancies. As the third-largest aerospace cluster in the United States after Seattle and Los Angeles, Chicago offers unique advantages: access to top-tier universities (University of Illinois Urbana-Champaign's Aerospace Engineering program), a deep talent pipeline of experienced Aerospace Engineers, and proximity to key clients across aviation, defense, and space sectors.</w:t>
      </w:r>
    </w:p>
    <w:p>
      <w:pPr>
        <w:pStyle w:val="BodyText"/>
      </w:pPr>
      <w:r>
        <w:t xml:space="preserve">Recent federal investments in the CHI-1000 initiative (Chicago Innovation for Next-Generation Aviation) have further amplified opportunities. This $325 million regional development program specifically targets Chicago's aerospace capabilities, creating a fertile ground for engineering services providers like ours to expand their market footprint.</w:t>
      </w:r>
    </w:p>
    <w:bookmarkEnd w:id="21"/>
    <w:bookmarkStart w:id="22" w:name="X680fa0bee0efc5aa41c139c50a0d90f9eec8c73"/>
    <w:p>
      <w:pPr>
        <w:pStyle w:val="Heading2"/>
      </w:pPr>
      <w:r>
        <w:t xml:space="preserve">III. Sales Performance Highlights: Q4 2023</w:t>
      </w:r>
    </w:p>
    <w:p>
      <w:pPr>
        <w:pStyle w:val="FirstParagraph"/>
      </w:pPr>
      <w:r>
        <w:t xml:space="preserve">Our Chicago-based engineering division delivered exceptional results, with the following key metrics:</w:t>
      </w:r>
    </w:p>
    <w:p>
      <w:pPr>
        <w:numPr>
          <w:ilvl w:val="0"/>
          <w:numId w:val="1001"/>
        </w:numPr>
        <w:pStyle w:val="Compact"/>
      </w:pPr>
      <w:r>
        <w:rPr>
          <w:bCs/>
          <w:b/>
        </w:rPr>
        <w:t xml:space="preserve">Revenue Growth:</w:t>
      </w:r>
      <w:r>
        <w:t xml:space="preserve"> </w:t>
      </w:r>
      <w:r>
        <w:t xml:space="preserve">$47.8M (18% YoY increase), exceeding Q3 by 9.2%</w:t>
      </w:r>
    </w:p>
    <w:p>
      <w:pPr>
        <w:numPr>
          <w:ilvl w:val="0"/>
          <w:numId w:val="1001"/>
        </w:numPr>
        <w:pStyle w:val="Compact"/>
      </w:pPr>
      <w:r>
        <w:rPr>
          <w:bCs/>
          <w:b/>
        </w:rPr>
        <w:t xml:space="preserve">New Client Acquisition:</w:t>
      </w:r>
      <w:r>
        <w:t xml:space="preserve"> </w:t>
      </w:r>
      <w:r>
        <w:t xml:space="preserve">14 major contracts secured with Chicago-area aerospace firms, including three Fortune 500 defense contractors</w:t>
      </w:r>
    </w:p>
    <w:p>
      <w:pPr>
        <w:numPr>
          <w:ilvl w:val="0"/>
          <w:numId w:val="1001"/>
        </w:numPr>
        <w:pStyle w:val="Compact"/>
      </w:pPr>
      <w:r>
        <w:rPr>
          <w:bCs/>
          <w:b/>
        </w:rPr>
        <w:t xml:space="preserve">Aerospace Engineer Utilization:</w:t>
      </w:r>
      <w:r>
        <w:t xml:space="preserve"> </w:t>
      </w:r>
      <w:r>
        <w:t xml:space="preserve">Full capacity at 100% across all engineering teams (78 dedicated Aerospace Engineers deployed)</w:t>
      </w:r>
    </w:p>
    <w:p>
      <w:pPr>
        <w:numPr>
          <w:ilvl w:val="0"/>
          <w:numId w:val="1001"/>
        </w:numPr>
        <w:pStyle w:val="Compact"/>
      </w:pPr>
      <w:r>
        <w:t xml:space="preserve">94.7% – highest in company history for the Chicago division</w:t>
      </w:r>
    </w:p>
    <w:p>
      <w:pPr>
        <w:numPr>
          <w:ilvl w:val="0"/>
          <w:numId w:val="1001"/>
        </w:numPr>
        <w:pStyle w:val="Compact"/>
      </w:pPr>
      <w:r>
        <w:t xml:space="preserve">68% of sales driven by our 'AeroCore' engineering suite (CFD analysis, lightweight composite design, and autonomous system integration services)</w:t>
      </w:r>
    </w:p>
    <w:p>
      <w:pPr>
        <w:pStyle w:val="FirstParagraph"/>
      </w:pPr>
      <w:r>
        <w:t xml:space="preserve">Notable contracts include a $12.3M multi-year agreement with Boeing Chicago to optimize next-generation aircraft component manufacturing and a $7.6M deal with GE Aviation's Chicago R&amp;D center for electric propulsion system development – both heavily reliant on our local Aerospace Engineer teams.</w:t>
      </w:r>
    </w:p>
    <w:bookmarkEnd w:id="22"/>
    <w:bookmarkStart w:id="23" w:name="X1a3a0848bb87ff65a8c0761715030779c5239ef"/>
    <w:p>
      <w:pPr>
        <w:pStyle w:val="Heading2"/>
      </w:pPr>
      <w:r>
        <w:t xml:space="preserve">IV. Critical Success Factors: The Aerospace Engineer Advantage</w:t>
      </w:r>
    </w:p>
    <w:p>
      <w:pPr>
        <w:pStyle w:val="FirstParagraph"/>
      </w:pPr>
      <w:r>
        <w:t xml:space="preserve">The exceptional sales performance directly stems from our strategic investment in high-caliber Aerospace Engineers within the United States Chicago market. Key differentiators include:</w:t>
      </w:r>
    </w:p>
    <w:p>
      <w:pPr>
        <w:numPr>
          <w:ilvl w:val="0"/>
          <w:numId w:val="1002"/>
        </w:numPr>
        <w:pStyle w:val="Compact"/>
      </w:pPr>
      <w:r>
        <w:rPr>
          <w:bCs/>
          <w:b/>
        </w:rPr>
        <w:t xml:space="preserve">Hyper-Local Talent Pool:</w:t>
      </w:r>
      <w:r>
        <w:t xml:space="preserve"> </w:t>
      </w:r>
      <w:r>
        <w:t xml:space="preserve">Chicago's proximity to 8 top-ranked aerospace engineering programs (including Illinois Institute of Technology and Northwestern University) allows us to recruit 42% faster than national averages for critical roles. Our local team includes 17 Ph.D.-level Aerospace Engineers with expertise in hypersonics and sustainable aviation fuels – capabilities highly sought after by Chicago clients.</w:t>
      </w:r>
    </w:p>
    <w:p>
      <w:pPr>
        <w:numPr>
          <w:ilvl w:val="0"/>
          <w:numId w:val="1002"/>
        </w:numPr>
        <w:pStyle w:val="Compact"/>
      </w:pPr>
      <w:r>
        <w:rPr>
          <w:bCs/>
          <w:b/>
        </w:rPr>
        <w:t xml:space="preserve">Responsive Engineering Solutions:</w:t>
      </w:r>
      <w:r>
        <w:t xml:space="preserve"> </w:t>
      </w:r>
      <w:r>
        <w:t xml:space="preserve">Our Chicago-based Aerospace Engineers operate on a 24-hour response cycle for client issues, enabling rapid prototyping and problem resolution. This agility directly contributed to a 33% faster project delivery rate versus industry benchmarks in Q4.</w:t>
      </w:r>
    </w:p>
    <w:p>
      <w:pPr>
        <w:numPr>
          <w:ilvl w:val="0"/>
          <w:numId w:val="1002"/>
        </w:numPr>
        <w:pStyle w:val="Compact"/>
      </w:pPr>
      <w:r>
        <w:rPr>
          <w:bCs/>
          <w:b/>
        </w:rPr>
        <w:t xml:space="preserve">Industry-Specific Expertise:</w:t>
      </w:r>
      <w:r>
        <w:t xml:space="preserve"> </w:t>
      </w:r>
      <w:r>
        <w:t xml:space="preserve">Unlike national firms with generic engineering teams, our Chicago division possesses deep knowledge of local regulatory frameworks (FAA Part 21 compliance), supply chain dynamics, and regional client needs. For example, we designed a custom maintenance solution for United Airlines' Chicago hub that reduced component downtime by 27%.</w:t>
      </w:r>
    </w:p>
    <w:bookmarkEnd w:id="23"/>
    <w:bookmarkStart w:id="24" w:name="X1af144930187a92bdf919528cc8dde019bef950"/>
    <w:p>
      <w:pPr>
        <w:pStyle w:val="Heading2"/>
      </w:pPr>
      <w:r>
        <w:t xml:space="preserve">V. Market Analysis: Chicago's Unique Value Proposition</w:t>
      </w:r>
    </w:p>
    <w:p>
      <w:pPr>
        <w:pStyle w:val="FirstParagraph"/>
      </w:pPr>
      <w:r>
        <w:t xml:space="preserve">The United States Chicago market presents distinct advantages over other aerospace hubs:</w:t>
      </w:r>
    </w:p>
    <w:p>
      <w:pPr>
        <w:numPr>
          <w:ilvl w:val="0"/>
          <w:numId w:val="1003"/>
        </w:numPr>
        <w:pStyle w:val="Compact"/>
      </w:pPr>
      <w:r>
        <w:rPr>
          <w:bCs/>
          <w:b/>
        </w:rPr>
        <w:t xml:space="preserve">Cost Efficiency:</w:t>
      </w:r>
      <w:r>
        <w:t xml:space="preserve"> </w:t>
      </w:r>
      <w:r>
        <w:t xml:space="preserve">Engineering talent costs 19% lower than Seattle while maintaining equivalent technical expertise, providing clients with superior ROI.</w:t>
      </w:r>
    </w:p>
    <w:p>
      <w:pPr>
        <w:numPr>
          <w:ilvl w:val="0"/>
          <w:numId w:val="1003"/>
        </w:numPr>
        <w:pStyle w:val="Compact"/>
      </w:pPr>
      <w:r>
        <w:rPr>
          <w:bCs/>
          <w:b/>
        </w:rPr>
        <w:t xml:space="preserve">Talent Retention:</w:t>
      </w:r>
      <w:r>
        <w:t xml:space="preserve"> </w:t>
      </w:r>
      <w:r>
        <w:t xml:space="preserve">Chicago's strong quality of life (affordable housing vs. coastal hubs, cultural amenities) enables our Aerospace Engineers to remain with the company 38% longer than industry average.</w:t>
      </w:r>
    </w:p>
    <w:p>
      <w:pPr>
        <w:numPr>
          <w:ilvl w:val="0"/>
          <w:numId w:val="1003"/>
        </w:numPr>
        <w:pStyle w:val="Compact"/>
      </w:pPr>
      <w:r>
        <w:rPr>
          <w:bCs/>
          <w:b/>
        </w:rPr>
        <w:t xml:space="preserve">Supply Chain Integration:</w:t>
      </w:r>
      <w:r>
        <w:t xml:space="preserve"> </w:t>
      </w:r>
      <w:r>
        <w:t xml:space="preserve">Proximity to key suppliers like Hexcel Corporation (Chicago-based composite materials manufacturer) and Alstom's aerospace division accelerates project timelines by 22%.</w:t>
      </w:r>
    </w:p>
    <w:p>
      <w:pPr>
        <w:pStyle w:val="FirstParagraph"/>
      </w:pPr>
      <w:r>
        <w:t xml:space="preserve">This ecosystem has made Chicago the fastest-growing aerospace market in the Midwest, with a projected 12.3% compound annual growth rate through 2027 (per Chicago Department of Commerce &amp; Economic Opportunity data).</w:t>
      </w:r>
    </w:p>
    <w:bookmarkEnd w:id="24"/>
    <w:bookmarkStart w:id="25" w:name="vi.-strategic-recommendations-for-2024"/>
    <w:p>
      <w:pPr>
        <w:pStyle w:val="Heading2"/>
      </w:pPr>
      <w:r>
        <w:t xml:space="preserve">VI. Strategic Recommendations for 2024</w:t>
      </w:r>
    </w:p>
    <w:p>
      <w:pPr>
        <w:pStyle w:val="FirstParagraph"/>
      </w:pPr>
      <w:r>
        <w:t xml:space="preserve">To sustain and amplify our momentum in the United States Chicago market, we propose:</w:t>
      </w:r>
    </w:p>
    <w:p>
      <w:pPr>
        <w:numPr>
          <w:ilvl w:val="0"/>
          <w:numId w:val="1004"/>
        </w:numPr>
        <w:pStyle w:val="Compact"/>
      </w:pPr>
      <w:r>
        <w:rPr>
          <w:bCs/>
          <w:b/>
        </w:rPr>
        <w:t xml:space="preserve">Expand Aerospace Engineer Training Program:</w:t>
      </w:r>
      <w:r>
        <w:t xml:space="preserve"> </w:t>
      </w:r>
      <w:r>
        <w:t xml:space="preserve">Create a $1.5M Chicago-specific upskilling initiative targeting quantum computing applications in aircraft design – an emerging need identified through client surveys.</w:t>
      </w:r>
    </w:p>
    <w:p>
      <w:pPr>
        <w:numPr>
          <w:ilvl w:val="0"/>
          <w:numId w:val="1004"/>
        </w:numPr>
        <w:pStyle w:val="Compact"/>
      </w:pPr>
      <w:r>
        <w:rPr>
          <w:bCs/>
          <w:b/>
        </w:rPr>
        <w:t xml:space="preserve">Forge University Partnerships:</w:t>
      </w:r>
      <w:r>
        <w:t xml:space="preserve"> </w:t>
      </w:r>
      <w:r>
        <w:t xml:space="preserve">Formalize collaborations with University of Illinois Chicago (UIC) and Illinois Institute of Technology for co-developing sustainable aviation fuel (SAF) engineering pathways.</w:t>
      </w:r>
    </w:p>
    <w:p>
      <w:pPr>
        <w:numPr>
          <w:ilvl w:val="0"/>
          <w:numId w:val="1004"/>
        </w:numPr>
        <w:pStyle w:val="Compact"/>
      </w:pPr>
      <w:r>
        <w:rPr>
          <w:bCs/>
          <w:b/>
        </w:rPr>
        <w:t xml:space="preserve">Leverage CHI-1000 Funding:</w:t>
      </w:r>
      <w:r>
        <w:t xml:space="preserve"> </w:t>
      </w:r>
      <w:r>
        <w:t xml:space="preserve">Bid on $5M in federal grant opportunities to establish a Chicago Innovation Center focused on urban air mobility solutions, directly targeting the city's infrastructure development goals.</w:t>
      </w:r>
    </w:p>
    <w:bookmarkEnd w:id="25"/>
    <w:bookmarkStart w:id="26" w:name="vii.-conclusion"/>
    <w:p>
      <w:pPr>
        <w:pStyle w:val="Heading2"/>
      </w:pPr>
      <w:r>
        <w:t xml:space="preserve">VII. Conclusion</w:t>
      </w:r>
    </w:p>
    <w:p>
      <w:pPr>
        <w:pStyle w:val="FirstParagraph"/>
      </w:pPr>
      <w:r>
        <w:t xml:space="preserve">The 2023 Q4 Sales Report unequivocally demonstrates that Chicago is not merely a geographic location for our aerospace engineering operations – it's an engine of innovation driving growth across the United States aerospace sector. Our strategic focus on cultivating and deploying top-tier Aerospace Engineers within this dynamic ecosystem has yielded exceptional results, with sales performance directly outpacing national averages by 32% in Q4. As the Chicago market continues to evolve through initiatives like CHI-1000 and its unparalleled access to talent, infrastructure, and industry partners, we are positioned for sustained leadership.</w:t>
      </w:r>
    </w:p>
    <w:p>
      <w:pPr>
        <w:pStyle w:val="BodyText"/>
      </w:pPr>
      <w:r>
        <w:t xml:space="preserve">With aerospace engineering at the core of our success story in United States Chicago, we project 25% revenue growth for 2024. This trajectory underscores why our strategic investment in local Aerospace Engineer capabilities remains the cornerstone of our market differentiation. We stand ready to deliver even more transformative solutions as Chicago cements its status as a global aerospace innovation capital.</w:t>
      </w:r>
    </w:p>
    <w:p>
      <w:pPr>
        <w:pStyle w:val="BodyText"/>
      </w:pPr>
      <w:r>
        <w:rPr>
          <w:iCs/>
          <w:i/>
        </w:rPr>
        <w:t xml:space="preserve">Prepared by:</w:t>
      </w:r>
      <w:r>
        <w:t xml:space="preserve"> </w:t>
      </w:r>
      <w:r>
        <w:t xml:space="preserve">Michael R. Chen, Director of Sales &amp; Engineering Solutions</w:t>
      </w:r>
      <w:r>
        <w:br/>
      </w:r>
      <w:r>
        <w:rPr>
          <w:iCs/>
          <w:i/>
        </w:rPr>
        <w:t xml:space="preserve">Chicago Aerospace Division,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Aerospace Engineering Solutions in United States Chicago</dc:title>
  <dc:creator/>
  <dc:language>en</dc:language>
  <cp:keywords/>
  <dcterms:created xsi:type="dcterms:W3CDTF">2026-07-23T14:12:52Z</dcterms:created>
  <dcterms:modified xsi:type="dcterms:W3CDTF">2026-07-23T14:12:52Z</dcterms:modified>
</cp:coreProperties>
</file>

<file path=docProps/custom.xml><?xml version="1.0" encoding="utf-8"?>
<Properties xmlns="http://schemas.openxmlformats.org/officeDocument/2006/custom-properties" xmlns:vt="http://schemas.openxmlformats.org/officeDocument/2006/docPropsVTypes"/>
</file>