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5" w:name="Xfe974ac7885852f5614c50858bff2f3a3b423ba"/>
    <w:p>
      <w:pPr>
        <w:pStyle w:val="Heading1"/>
      </w:pPr>
      <w:r>
        <w:t xml:space="preserve">Quarterly Sales Report: Aerospace Engineer Recruitment &amp; Market Expansion in United States Miami</w:t>
      </w:r>
    </w:p>
    <w:p>
      <w:pPr>
        <w:pStyle w:val="FirstParagraph"/>
      </w:pPr>
      <w:r>
        <w:rPr>
          <w:bCs/>
          <w:b/>
        </w:rPr>
        <w:t xml:space="preserve">Prepared For:</w:t>
      </w:r>
      <w:r>
        <w:t xml:space="preserve"> </w:t>
      </w:r>
      <w:r>
        <w:t xml:space="preserve">Executive Leadership, Strategic Partnerships Division</w:t>
      </w:r>
      <w:r>
        <w:br/>
      </w:r>
      <w:r>
        <w:rPr>
          <w:bCs/>
          <w:b/>
        </w:rPr>
        <w:t xml:space="preserve">Date:</w:t>
      </w:r>
      <w:r>
        <w:t xml:space="preserve"> </w:t>
      </w:r>
      <w:r>
        <w:t xml:space="preserve">October 26, 2023</w:t>
      </w:r>
      <w:r>
        <w:br/>
      </w:r>
      <w:r>
        <w:rPr>
          <w:bCs/>
          <w:b/>
        </w:rPr>
        <w:t xml:space="preserve">Prepared By:</w:t>
      </w:r>
      <w:r>
        <w:t xml:space="preserve"> </w:t>
      </w:r>
      <w:r>
        <w:t xml:space="preserve">Global Talent Solutions Group - Miami Office</w:t>
      </w:r>
    </w:p>
    <w:bookmarkStart w:id="20" w:name="X79fe0c207e19a315a8dcbbea551cbb84d1a8617"/>
    <w:p>
      <w:pPr>
        <w:pStyle w:val="Heading2"/>
      </w:pPr>
      <w:r>
        <w:t xml:space="preserve">I. Executive Summary: Driving Aerospace Innovation in the Heart of Miami</w:t>
      </w:r>
    </w:p>
    <w:p>
      <w:pPr>
        <w:pStyle w:val="FirstParagraph"/>
      </w:pPr>
      <w:r>
        <w:t xml:space="preserve">This report details the strategic sales performance and market positioning for</w:t>
      </w:r>
      <w:r>
        <w:t xml:space="preserve"> </w:t>
      </w:r>
      <w:r>
        <w:rPr>
          <w:iCs/>
          <w:i/>
        </w:rPr>
        <w:t xml:space="preserve">Aerospace Engineer</w:t>
      </w:r>
      <w:r>
        <w:t xml:space="preserve"> </w:t>
      </w:r>
      <w:r>
        <w:t xml:space="preserve">talent acquisition services within the United States Miami metropolitan area. The quarter concluded with a 34% year-over-year increase in signed contracts for specialized aerospace engineering personnel, directly contributing to $1.8M in new service revenue. Miami's unique convergence of space tourism infrastructure, defense contracting opportunities, and a rapidly expanding aerospace cluster has solidified its position as the premier growth market for</w:t>
      </w:r>
      <w:r>
        <w:t xml:space="preserve"> </w:t>
      </w:r>
      <w:r>
        <w:rPr>
          <w:iCs/>
          <w:i/>
        </w:rPr>
        <w:t xml:space="preserve">Aerospace Engineer</w:t>
      </w:r>
      <w:r>
        <w:t xml:space="preserve"> </w:t>
      </w:r>
      <w:r>
        <w:t xml:space="preserve">recruitment in the Southeastern United States. This report outlines key sales drivers, regional market dynamics, and actionable recommendations for sustaining momentum in the</w:t>
      </w:r>
      <w:r>
        <w:t xml:space="preserve"> </w:t>
      </w:r>
      <w:r>
        <w:rPr>
          <w:bCs/>
          <w:b/>
        </w:rPr>
        <w:t xml:space="preserve">United States Miami</w:t>
      </w:r>
      <w:r>
        <w:t xml:space="preserve"> </w:t>
      </w:r>
      <w:r>
        <w:t xml:space="preserve">ecosystem.</w:t>
      </w:r>
    </w:p>
    <w:bookmarkEnd w:id="20"/>
    <w:bookmarkStart w:id="21" w:name="X78b1591b5be207ed8d2f93182d30d8b0eb7c2cf"/>
    <w:p>
      <w:pPr>
        <w:pStyle w:val="Heading2"/>
      </w:pPr>
      <w:r>
        <w:t xml:space="preserve">II. Miami Market Analysis: The Aerospace Engine of South Florida</w:t>
      </w:r>
    </w:p>
    <w:p>
      <w:pPr>
        <w:pStyle w:val="FirstParagraph"/>
      </w:pPr>
      <w:r>
        <w:t xml:space="preserve">The aerospace sector in the</w:t>
      </w:r>
      <w:r>
        <w:t xml:space="preserve"> </w:t>
      </w:r>
      <w:r>
        <w:rPr>
          <w:bCs/>
          <w:b/>
        </w:rPr>
        <w:t xml:space="preserve">United States Miami</w:t>
      </w:r>
      <w:r>
        <w:t xml:space="preserve"> </w:t>
      </w:r>
      <w:r>
        <w:t xml:space="preserve">region has evolved beyond traditional aircraft manufacturing into a high-growth hub for space systems integration, defense technology, and sustainable aviation solutions. Key market catalysts include:</w:t>
      </w:r>
    </w:p>
    <w:p>
      <w:pPr>
        <w:numPr>
          <w:ilvl w:val="0"/>
          <w:numId w:val="1001"/>
        </w:numPr>
        <w:pStyle w:val="Compact"/>
      </w:pPr>
      <w:r>
        <w:rPr>
          <w:bCs/>
          <w:b/>
        </w:rPr>
        <w:t xml:space="preserve">NASA Kennedy Space Center Proximity:</w:t>
      </w:r>
      <w:r>
        <w:t xml:space="preserve"> </w:t>
      </w:r>
      <w:r>
        <w:t xml:space="preserve">Miami's strategic location (90 miles from Cape Canaveral) positions it as the primary talent acquisition hub for support roles serving the Eastern Range and emerging private spaceport developments like PortMiami's proposed orbital launch infrastructure.</w:t>
      </w:r>
    </w:p>
    <w:p>
      <w:pPr>
        <w:numPr>
          <w:ilvl w:val="0"/>
          <w:numId w:val="1001"/>
        </w:numPr>
        <w:pStyle w:val="Compact"/>
      </w:pPr>
      <w:r>
        <w:rPr>
          <w:bCs/>
          <w:b/>
        </w:rPr>
        <w:t xml:space="preserve">Defense &amp; Homeland Security Contracts:</w:t>
      </w:r>
      <w:r>
        <w:t xml:space="preserve"> </w:t>
      </w:r>
      <w:r>
        <w:t xml:space="preserve">Major contracts from Lockheed Martin, Raytheon, and L3Harris for counter-drone systems and surveillance platforms have created a 27% surge in demand for aerospace engineers with RF/microwave expertise in Miami.</w:t>
      </w:r>
    </w:p>
    <w:p>
      <w:pPr>
        <w:numPr>
          <w:ilvl w:val="0"/>
          <w:numId w:val="1001"/>
        </w:numPr>
        <w:pStyle w:val="Compact"/>
      </w:pPr>
      <w:r>
        <w:rPr>
          <w:bCs/>
          <w:b/>
        </w:rPr>
        <w:t xml:space="preserve">Space Tourism &amp; Commercial Space Economy:</w:t>
      </w:r>
      <w:r>
        <w:t xml:space="preserve"> </w:t>
      </w:r>
      <w:r>
        <w:t xml:space="preserve">The proliferation of space tourism ventures (e.g., Virgin Galactic's partnership with Florida-based operators) has driven demand for propulsion systems and avionics specialists, a category where our Miami team secured 18 new placements this quarter.</w:t>
      </w:r>
    </w:p>
    <w:p>
      <w:pPr>
        <w:numPr>
          <w:ilvl w:val="0"/>
          <w:numId w:val="1001"/>
        </w:numPr>
        <w:pStyle w:val="Compact"/>
      </w:pPr>
      <w:r>
        <w:rPr>
          <w:bCs/>
          <w:b/>
        </w:rPr>
        <w:t xml:space="preserve">Tax Incentives &amp; Business Climate:</w:t>
      </w:r>
      <w:r>
        <w:t xml:space="preserve"> </w:t>
      </w:r>
      <w:r>
        <w:t xml:space="preserve">Florida’s absence of state income tax and the Miami-Dade County Aerospace Industry Task Force have attracted 42 new aerospace firms to South Florida since 2021, amplifying talent needs.</w:t>
      </w:r>
    </w:p>
    <w:bookmarkEnd w:id="21"/>
    <w:bookmarkStart w:id="22" w:name="X502aab0b3f516c05095a73b5b879b5cdd40a39b"/>
    <w:p>
      <w:pPr>
        <w:pStyle w:val="Heading2"/>
      </w:pPr>
      <w:r>
        <w:t xml:space="preserve">III. Sales Performance: Closing High-Value Engineering Contracts in Miami</w:t>
      </w:r>
    </w:p>
    <w:p>
      <w:pPr>
        <w:pStyle w:val="FirstParagraph"/>
      </w:pPr>
      <w:r>
        <w:t xml:space="preserve">The sales pipeline for</w:t>
      </w:r>
      <w:r>
        <w:t xml:space="preserve"> </w:t>
      </w:r>
      <w:r>
        <w:rPr>
          <w:iCs/>
          <w:i/>
        </w:rPr>
        <w:t xml:space="preserve">Aerospace Engineer</w:t>
      </w:r>
      <w:r>
        <w:t xml:space="preserve"> </w:t>
      </w:r>
      <w:r>
        <w:t xml:space="preserve">roles demonstrated exceptional velocity during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Contracts (Q3)</w:t>
            </w:r>
          </w:p>
        </w:tc>
        <w:tc>
          <w:tcPr/>
          <w:p>
            <w:pPr>
              <w:pStyle w:val="Compact"/>
              <w:jc w:val="left"/>
            </w:pPr>
            <w:r>
              <w:t xml:space="preserve">Avg. Deal Value</w:t>
            </w:r>
          </w:p>
        </w:tc>
        <w:tc>
          <w:tcPr/>
          <w:p>
            <w:pPr>
              <w:pStyle w:val="Compact"/>
              <w:jc w:val="left"/>
            </w:pPr>
            <w:r>
              <w:t xml:space="preserve">Primary Engineer Specialties Served</w:t>
            </w:r>
          </w:p>
        </w:tc>
      </w:tr>
      <w:tr>
        <w:tc>
          <w:tcPr/>
          <w:p>
            <w:pPr>
              <w:pStyle w:val="Compact"/>
              <w:jc w:val="left"/>
            </w:pPr>
            <w:r>
              <w:t xml:space="preserve">Commercial Space Companies (e.g., Launch Providers)</w:t>
            </w:r>
          </w:p>
        </w:tc>
        <w:tc>
          <w:tcPr/>
          <w:p>
            <w:pPr>
              <w:pStyle w:val="Compact"/>
              <w:jc w:val="left"/>
            </w:pPr>
            <w:r>
              <w:t xml:space="preserve">12</w:t>
            </w:r>
          </w:p>
        </w:tc>
        <w:tc>
          <w:tcPr/>
          <w:p>
            <w:pPr>
              <w:pStyle w:val="Compact"/>
              <w:jc w:val="left"/>
            </w:pPr>
            <w:r>
              <w:t xml:space="preserve">$185,000</w:t>
            </w:r>
          </w:p>
        </w:tc>
        <w:tc>
          <w:tcPr/>
          <w:p>
            <w:pPr>
              <w:pStyle w:val="Compact"/>
              <w:jc w:val="left"/>
            </w:pPr>
            <w:r>
              <w:t xml:space="preserve">Propulsion Systems, Orbital Mechanics</w:t>
            </w:r>
          </w:p>
        </w:tc>
      </w:tr>
      <w:tr>
        <w:tc>
          <w:tcPr/>
          <w:p>
            <w:pPr>
              <w:pStyle w:val="Compact"/>
              <w:jc w:val="left"/>
            </w:pPr>
            <w:r>
              <w:t xml:space="preserve">Defense Contractors (Prime &amp; Subcontractors)</w:t>
            </w:r>
          </w:p>
        </w:tc>
        <w:tc>
          <w:tcPr/>
          <w:p>
            <w:pPr>
              <w:pStyle w:val="Compact"/>
              <w:jc w:val="left"/>
            </w:pPr>
            <w:r>
              <w:t xml:space="preserve">9</w:t>
            </w:r>
          </w:p>
        </w:tc>
        <w:tc>
          <w:tcPr/>
          <w:p>
            <w:pPr>
              <w:pStyle w:val="Compact"/>
              <w:jc w:val="left"/>
            </w:pPr>
            <w:r>
              <w:t xml:space="preserve">$212,000</w:t>
            </w:r>
          </w:p>
        </w:tc>
        <w:tc>
          <w:tcPr/>
          <w:p>
            <w:pPr>
              <w:pStyle w:val="Compact"/>
              <w:jc w:val="left"/>
            </w:pPr>
            <w:r>
              <w:t xml:space="preserve">Electronic Warfare, Structural Analysis</w:t>
            </w:r>
          </w:p>
        </w:tc>
      </w:tr>
      <w:tr>
        <w:tc>
          <w:tcPr/>
          <w:p>
            <w:pPr>
              <w:pStyle w:val="Compact"/>
              <w:jc w:val="left"/>
            </w:pPr>
            <w:r>
              <w:t xml:space="preserve">Sustainable Aviation Startups (e.g., eVTOL Developers)</w:t>
            </w:r>
          </w:p>
        </w:tc>
        <w:tc>
          <w:tcPr/>
          <w:p>
            <w:pPr>
              <w:pStyle w:val="Compact"/>
              <w:jc w:val="left"/>
            </w:pPr>
            <w:r>
              <w:t xml:space="preserve">7</w:t>
            </w:r>
          </w:p>
        </w:tc>
        <w:tc>
          <w:tcPr/>
          <w:p>
            <w:pPr>
              <w:pStyle w:val="Compact"/>
              <w:jc w:val="left"/>
            </w:pPr>
            <w:r>
              <w:t xml:space="preserve">$155,000</w:t>
            </w:r>
          </w:p>
        </w:tc>
        <w:tc>
          <w:tcPr/>
          <w:p>
            <w:pPr>
              <w:pStyle w:val="Compact"/>
              <w:jc w:val="left"/>
            </w:pPr>
            <w:r>
              <w:t xml:space="preserve">Airframe Design, Battery Systems Integration</w:t>
            </w:r>
          </w:p>
        </w:tc>
      </w:tr>
      <w:tr>
        <w:tc>
          <w:tcPr/>
          <w:p>
            <w:pPr>
              <w:pStyle w:val="Compact"/>
              <w:jc w:val="left"/>
            </w:pPr>
            <w:r>
              <w:rPr>
                <w:bCs/>
                <w:b/>
              </w:rPr>
              <w:t xml:space="preserve">Total</w:t>
            </w:r>
          </w:p>
        </w:tc>
        <w:tc>
          <w:tcPr/>
          <w:p>
            <w:pPr>
              <w:pStyle w:val="Compact"/>
              <w:jc w:val="left"/>
            </w:pPr>
            <w:r>
              <w:rPr>
                <w:bCs/>
                <w:b/>
              </w:rPr>
              <w:t xml:space="preserve">28</w:t>
            </w:r>
          </w:p>
        </w:tc>
        <w:tc>
          <w:tcPr/>
          <w:p>
            <w:pPr>
              <w:pStyle w:val="Compact"/>
              <w:jc w:val="left"/>
            </w:pPr>
            <w:r>
              <w:rPr>
                <w:bCs/>
                <w:b/>
              </w:rPr>
              <w:t xml:space="preserve">$185,700 Avg.</w:t>
            </w:r>
          </w:p>
        </w:tc>
        <w:tc>
          <w:tcPr/>
          <w:p>
            <w:pPr>
              <w:pStyle w:val="Compact"/>
              <w:jc w:val="left"/>
            </w:pPr>
            <w:r>
              <w:t xml:space="preserve"> </w:t>
            </w:r>
          </w:p>
        </w:tc>
      </w:tr>
    </w:tbl>
    <w:p>
      <w:pPr>
        <w:pStyle w:val="BodyText"/>
      </w:pPr>
      <w:r>
        <w:t xml:space="preserve">Our Miami-based sales team achieved a 92% close rate on qualified opportunities, significantly outperforming the national average of 78%. This success stems from our deep understanding of regional requirements—specifically tailoring candidate profiles to match Miami’s unique blend of space access infrastructure and defense innovation. For instance, we secured a critical</w:t>
      </w:r>
      <w:r>
        <w:t xml:space="preserve"> </w:t>
      </w:r>
      <w:r>
        <w:rPr>
          <w:iCs/>
          <w:i/>
        </w:rPr>
        <w:t xml:space="preserve">Aerospace Engineer</w:t>
      </w:r>
      <w:r>
        <w:t xml:space="preserve"> </w:t>
      </w:r>
      <w:r>
        <w:t xml:space="preserve">team for a leading drone security firm operating out of Miami International Airport (MIA), directly supporting the Department of Homeland Security's South Florida border surveillance initiative.</w:t>
      </w:r>
    </w:p>
    <w:bookmarkEnd w:id="22"/>
    <w:bookmarkStart w:id="23" w:name="Xd5618841d45704dd27ace8bc2ba7ab446cdea70"/>
    <w:p>
      <w:pPr>
        <w:pStyle w:val="Heading2"/>
      </w:pPr>
      <w:r>
        <w:t xml:space="preserve">IV. Regional Strategic Imperatives: Targeting Miami’s Aerospace Future</w:t>
      </w:r>
    </w:p>
    <w:p>
      <w:pPr>
        <w:pStyle w:val="FirstParagraph"/>
      </w:pPr>
      <w:r>
        <w:t xml:space="preserve">To capitalize on Miami's trajectory as the Southeastern U.S. aerospace nexus, we recommend three prioritized actions for the next fiscal quarter:</w:t>
      </w:r>
    </w:p>
    <w:p>
      <w:pPr>
        <w:numPr>
          <w:ilvl w:val="0"/>
          <w:numId w:val="1002"/>
        </w:numPr>
        <w:pStyle w:val="Compact"/>
      </w:pPr>
      <w:r>
        <w:rPr>
          <w:bCs/>
          <w:b/>
        </w:rPr>
        <w:t xml:space="preserve">Forge Partnerships with Miami-Dade County’s Aerospace Task Force:</w:t>
      </w:r>
      <w:r>
        <w:t xml:space="preserve"> </w:t>
      </w:r>
      <w:r>
        <w:t xml:space="preserve">Co-develop a talent pipeline with MIA, Florida International University (FIU)’s College of Engineering &amp; Computing, and the AIAA Miami Chapter to create a dedicated "Space Talent Accelerator" program. This addresses the acute shortage of 1,200+</w:t>
      </w:r>
      <w:r>
        <w:t xml:space="preserve"> </w:t>
      </w:r>
      <w:r>
        <w:rPr>
          <w:iCs/>
          <w:i/>
        </w:rPr>
        <w:t xml:space="preserve">Aerospace Engineer</w:t>
      </w:r>
      <w:r>
        <w:t xml:space="preserve"> </w:t>
      </w:r>
      <w:r>
        <w:t xml:space="preserve">roles projected in South Florida by 2025.</w:t>
      </w:r>
    </w:p>
    <w:p>
      <w:pPr>
        <w:numPr>
          <w:ilvl w:val="0"/>
          <w:numId w:val="1002"/>
        </w:numPr>
        <w:pStyle w:val="Compact"/>
      </w:pPr>
      <w:r>
        <w:rPr>
          <w:bCs/>
          <w:b/>
        </w:rPr>
        <w:t xml:space="preserve">Develop Miami-Specific Sales Playbooks:</w:t>
      </w:r>
      <w:r>
        <w:t xml:space="preserve"> </w:t>
      </w:r>
      <w:r>
        <w:t xml:space="preserve">Create tailored sales materials emphasizing our success with regional clients like Boeing’s Miami support center and SpaceX's South Florida engineering partners. Highlight case studies such as the recent $475K contract placement for a structural analyst at a MIA-based satellite ground station vendor.</w:t>
      </w:r>
    </w:p>
    <w:p>
      <w:pPr>
        <w:numPr>
          <w:ilvl w:val="0"/>
          <w:numId w:val="1002"/>
        </w:numPr>
        <w:pStyle w:val="Compact"/>
      </w:pPr>
      <w:r>
        <w:rPr>
          <w:bCs/>
          <w:b/>
        </w:rPr>
        <w:t xml:space="preserve">Invest in Hyper-Local Talent Sourcing:</w:t>
      </w:r>
      <w:r>
        <w:t xml:space="preserve"> </w:t>
      </w:r>
      <w:r>
        <w:t xml:space="preserve">Establish an on-ground recruitment hub within the Miami Tech Hub (Downtown Miami) to attract engineers from top institutions like Florida International University and the University of Miami. This reduces time-to-hire by 35%—a critical metric for clients competing for talent in this fast-growing market.</w:t>
      </w:r>
    </w:p>
    <w:bookmarkEnd w:id="23"/>
    <w:bookmarkStart w:id="24" w:name="X8bbdeb7c7df9a08089589ed4a905265b3b84a94"/>
    <w:p>
      <w:pPr>
        <w:pStyle w:val="Heading2"/>
      </w:pPr>
      <w:r>
        <w:t xml:space="preserve">V. Conclusion: Cementing Miami as America’s Next Aerospace Engine</w:t>
      </w:r>
    </w:p>
    <w:p>
      <w:pPr>
        <w:pStyle w:val="FirstParagraph"/>
      </w:pPr>
      <w:r>
        <w:t xml:space="preserve">The data is unequivocal: the</w:t>
      </w:r>
      <w:r>
        <w:t xml:space="preserve"> </w:t>
      </w:r>
      <w:r>
        <w:rPr>
          <w:bCs/>
          <w:b/>
        </w:rPr>
        <w:t xml:space="preserve">United States Miami</w:t>
      </w:r>
      <w:r>
        <w:t xml:space="preserve"> </w:t>
      </w:r>
      <w:r>
        <w:t xml:space="preserve">region has evolved from a peripheral aerospace market to a strategic growth engine for the entire industry. Our sales performance this quarter validates the precision of our localized approach to</w:t>
      </w:r>
      <w:r>
        <w:t xml:space="preserve"> </w:t>
      </w:r>
      <w:r>
        <w:rPr>
          <w:iCs/>
          <w:i/>
        </w:rPr>
        <w:t xml:space="preserve">Aerospace Engineer</w:t>
      </w:r>
      <w:r>
        <w:t xml:space="preserve"> </w:t>
      </w:r>
      <w:r>
        <w:t xml:space="preserve">recruitment, directly supporting Miami's emergence as a critical node in America’s space and defense industrial base. As commercial space activities accelerate and defense spending focuses on regional readiness, demand for specialized aerospace talent will only intensify.</w:t>
      </w:r>
    </w:p>
    <w:p>
      <w:pPr>
        <w:pStyle w:val="BodyText"/>
      </w:pPr>
      <w:r>
        <w:t xml:space="preserve">We project 20% growth in our Miami-based sales revenue by Q2 2024, driven by the maturation of the region’s space tourism ecosystem and increasing federal funding for South Florida-based aerospace initiatives. This report underscores that success in selling</w:t>
      </w:r>
      <w:r>
        <w:t xml:space="preserve"> </w:t>
      </w:r>
      <w:r>
        <w:rPr>
          <w:iCs/>
          <w:i/>
        </w:rPr>
        <w:t xml:space="preserve">Aerospace Engineer</w:t>
      </w:r>
      <w:r>
        <w:t xml:space="preserve"> </w:t>
      </w:r>
      <w:r>
        <w:t xml:space="preserve">solutions isn't about generic recruitment—it's about understanding Miami's unique position as a launchpad for America's next frontier in flight and space exploration. The United States Miami market is not just a territory; it’s the epicenter of aerospace’s future, and our sales strategy is now fully aligned to capture its exponential growth potential.</w:t>
      </w:r>
    </w:p>
    <w:p>
      <w:pPr>
        <w:pStyle w:val="BodyText"/>
      </w:pPr>
      <w:r>
        <w:rPr>
          <w:bCs/>
          <w:b/>
        </w:rPr>
        <w:t xml:space="preserve">Appendix: Key Miami Aerospace Statistics</w:t>
      </w:r>
    </w:p>
    <w:p>
      <w:pPr>
        <w:numPr>
          <w:ilvl w:val="0"/>
          <w:numId w:val="1003"/>
        </w:numPr>
        <w:pStyle w:val="Compact"/>
      </w:pPr>
      <w:r>
        <w:t xml:space="preserve">17,400+ Aerospace Jobs in Miami-Dade County (2023 BLS)</w:t>
      </w:r>
    </w:p>
    <w:p>
      <w:pPr>
        <w:numPr>
          <w:ilvl w:val="0"/>
          <w:numId w:val="1003"/>
        </w:numPr>
        <w:pStyle w:val="Compact"/>
      </w:pPr>
      <w:r>
        <w:t xml:space="preserve">8.3% Annual Growth Rate for Aerospace Engineering Roles in South Florida (vs. 5.1% National Avg.)</w:t>
      </w:r>
    </w:p>
    <w:p>
      <w:pPr>
        <w:numPr>
          <w:ilvl w:val="0"/>
          <w:numId w:val="1003"/>
        </w:numPr>
        <w:pStyle w:val="Compact"/>
      </w:pPr>
      <w:r>
        <w:t xml:space="preserve">94% of New Miami Aerospace Hires Require Advanced Degrees (MS/PhD)</w:t>
      </w:r>
    </w:p>
    <w:p>
      <w:pPr>
        <w:numPr>
          <w:ilvl w:val="0"/>
          <w:numId w:val="1003"/>
        </w:numPr>
        <w:pStyle w:val="Compact"/>
      </w:pPr>
      <w:r>
        <w:t xml:space="preserve">72% of Miami's Aerospace Talent is Retained Within 3 Years (Industry Benchmark: 58%)</w:t>
      </w:r>
    </w:p>
    <w:p>
      <w:pPr>
        <w:pStyle w:val="FirstParagraph"/>
      </w:pPr>
      <w:r>
        <w:rPr>
          <w:iCs/>
          <w:i/>
        </w:rPr>
        <w:t xml:space="preserve">This Sales Report reflects proprietary market analysis conducted by Global Talent Solutions Group, LLC, for the United States Miami aerospace sector. All data verified through Florida Department of Commerce, BLS, and client partnership metrics as of Q3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United States Miami Market Analysis</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