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Architectural</w:t>
      </w:r>
      <w:r>
        <w:t xml:space="preserve"> </w:t>
      </w:r>
      <w:r>
        <w:t xml:space="preserve">Services</w:t>
      </w:r>
      <w:r>
        <w:t xml:space="preserve"> </w:t>
      </w:r>
      <w:r>
        <w:t xml:space="preserve">in</w:t>
      </w:r>
      <w:r>
        <w:t xml:space="preserve"> </w:t>
      </w:r>
      <w:r>
        <w:t xml:space="preserve">Afghanistan</w:t>
      </w:r>
      <w:r>
        <w:t xml:space="preserve"> </w:t>
      </w:r>
      <w:r>
        <w:t xml:space="preserve">Kabul</w:t>
      </w:r>
    </w:p>
    <w:bookmarkStart w:id="27" w:name="X35f99da959d4b99c62e6c6087470ecd69222423"/>
    <w:p>
      <w:pPr>
        <w:pStyle w:val="Heading1"/>
      </w:pPr>
      <w:r>
        <w:t xml:space="preserve">Sales Report: Architectural Services Market Analysis for Afghanistan Kabul (Q3 2023)</w:t>
      </w:r>
    </w:p>
    <w:p>
      <w:pPr>
        <w:pStyle w:val="FirstParagraph"/>
      </w:pPr>
      <w:r>
        <w:rPr>
          <w:bCs/>
          <w:b/>
        </w:rPr>
        <w:t xml:space="preserve">Prepared For:</w:t>
      </w:r>
      <w:r>
        <w:t xml:space="preserve"> </w:t>
      </w:r>
      <w:r>
        <w:t xml:space="preserve">Global Architecture Solutions Group</w:t>
      </w:r>
      <w:r>
        <w:br/>
      </w:r>
      <w:r>
        <w:rPr>
          <w:bCs/>
          <w:b/>
        </w:rPr>
        <w:t xml:space="preserve">Date:</w:t>
      </w:r>
      <w:r>
        <w:t xml:space="preserve"> </w:t>
      </w:r>
      <w:r>
        <w:t xml:space="preserve">October 26, 2023</w:t>
      </w:r>
      <w:r>
        <w:br/>
      </w:r>
      <w:r>
        <w:rPr>
          <w:bCs/>
          <w:b/>
        </w:rPr>
        <w:t xml:space="preserve">Location Focus:</w:t>
      </w:r>
      <w:r>
        <w:t xml:space="preserve"> </w:t>
      </w:r>
      <w:r>
        <w:t xml:space="preserve">Kabul, Afghanistan</w:t>
      </w:r>
    </w:p>
    <w:bookmarkStart w:id="20" w:name="i.-executive-summary"/>
    <w:p>
      <w:pPr>
        <w:pStyle w:val="Heading2"/>
      </w:pPr>
      <w:r>
        <w:t xml:space="preserve">I. Executive Summary</w:t>
      </w:r>
    </w:p>
    <w:p>
      <w:pPr>
        <w:pStyle w:val="FirstParagraph"/>
      </w:pPr>
      <w:r>
        <w:t xml:space="preserve">This sales report details the current state and strategic outlook for architectural services within the rapidly evolving construction sector of Afghanistan Kabul. Despite significant geopolitical challenges, Kabul's urban landscape continues to demand professional architectural expertise for both reconstruction efforts and new development initiatives. This document confirms that our firm has successfully secured 14 major projects totaling $3.8 million in contractual value during the third quarter, representing a 22% increase from Q2 2023. The demand for skilled</w:t>
      </w:r>
      <w:r>
        <w:t xml:space="preserve"> </w:t>
      </w:r>
      <w:r>
        <w:rPr>
          <w:iCs/>
          <w:i/>
        </w:rPr>
        <w:t xml:space="preserve">architect</w:t>
      </w:r>
      <w:r>
        <w:t xml:space="preserve"> </w:t>
      </w:r>
      <w:r>
        <w:t xml:space="preserve">services remains exceptionally high, driven by urgent housing needs, public infrastructure renewal, and private sector investments within Kabul province.</w:t>
      </w:r>
    </w:p>
    <w:bookmarkEnd w:id="20"/>
    <w:bookmarkStart w:id="21" w:name="X4a0edab4a102b0752613c2db3bdd681a6f48f93"/>
    <w:p>
      <w:pPr>
        <w:pStyle w:val="Heading2"/>
      </w:pPr>
      <w:r>
        <w:t xml:space="preserve">II. Market Context: Afghanistan Kabul Construction Landscape</w:t>
      </w:r>
    </w:p>
    <w:p>
      <w:pPr>
        <w:pStyle w:val="FirstParagraph"/>
      </w:pPr>
      <w:r>
        <w:t xml:space="preserve">Kabul serves as the undisputed epicenter of architectural activity across Afghanistan. With over 5 million residents and constant urban expansion into districts like Dasht-e-Barchi, Wardak, and Surobi, the city faces unprecedented pressure to modernize its infrastructure while preserving cultural heritage. The current government's focus on "reconstruction without destruction" has created a unique market for forward-thinking architects who understand both contemporary building standards and Afghan architectural traditions.</w:t>
      </w:r>
    </w:p>
    <w:p>
      <w:pPr>
        <w:pStyle w:val="BodyText"/>
      </w:pPr>
      <w:r>
        <w:t xml:space="preserve">Recent developments in Afghanistan Kabul include the rehabilitation of the historic Babur Gardens complex, new public healthcare facilities funded by international partners near Charasiab, and growing residential clusters west of the city. Crucially, this market segment requires an architect who understands local materials (like baked brick and traditional stone), seismic safety protocols for Kabul's fault lines, and community engagement practices vital to client acceptance in Afghan neighborhoods.</w:t>
      </w:r>
    </w:p>
    <w:bookmarkEnd w:id="21"/>
    <w:bookmarkStart w:id="22" w:name="X23260b2d53f70bfdb7f21cdf7c76a022196f9a0"/>
    <w:p>
      <w:pPr>
        <w:pStyle w:val="Heading2"/>
      </w:pPr>
      <w:r>
        <w:t xml:space="preserve">III. Sales Performance Breakdown: Architect Services</w:t>
      </w:r>
    </w:p>
    <w:p>
      <w:pPr>
        <w:pStyle w:val="FirstParagraph"/>
      </w:pPr>
      <w:r>
        <w:t xml:space="preserve">This quarter's sales success centers on three key service categories:</w:t>
      </w:r>
    </w:p>
    <w:p>
      <w:pPr>
        <w:numPr>
          <w:ilvl w:val="0"/>
          <w:numId w:val="1001"/>
        </w:numPr>
        <w:pStyle w:val="Compact"/>
      </w:pPr>
      <w:r>
        <w:rPr>
          <w:bCs/>
          <w:b/>
        </w:rPr>
        <w:t xml:space="preserve">Residential Development (58% of revenue):</w:t>
      </w:r>
      <w:r>
        <w:t xml:space="preserve"> </w:t>
      </w:r>
      <w:r>
        <w:t xml:space="preserve">7 projects including mid-rise apartment complexes in Karte-e-Parwan and low-cost housing for displaced families near Dasht-e-Barchi. The demand for functional, culturally appropriate housing continues to drive our most consistent sales pipeline.</w:t>
      </w:r>
    </w:p>
    <w:p>
      <w:pPr>
        <w:numPr>
          <w:ilvl w:val="0"/>
          <w:numId w:val="1001"/>
        </w:numPr>
        <w:pStyle w:val="Compact"/>
      </w:pPr>
      <w:r>
        <w:rPr>
          <w:bCs/>
          <w:b/>
        </w:rPr>
        <w:t xml:space="preserve">Public Infrastructure (32% of revenue):</w:t>
      </w:r>
      <w:r>
        <w:t xml:space="preserve"> </w:t>
      </w:r>
      <w:r>
        <w:t xml:space="preserve">4 contracts with the Ministry of Public Works for school renovations in Kabul City Center and water treatment facility designs. These projects required navigating complex government procurement processes specific to Afghanistan Kabul's administrative structure.</w:t>
      </w:r>
    </w:p>
    <w:p>
      <w:pPr>
        <w:numPr>
          <w:ilvl w:val="0"/>
          <w:numId w:val="1001"/>
        </w:numPr>
        <w:pStyle w:val="Compact"/>
      </w:pPr>
      <w:r>
        <w:rPr>
          <w:bCs/>
          <w:b/>
        </w:rPr>
        <w:t xml:space="preserve">Sustainable Design Consultancy (10% of revenue):</w:t>
      </w:r>
      <w:r>
        <w:t xml:space="preserve"> </w:t>
      </w:r>
      <w:r>
        <w:t xml:space="preserve">New advisory services for solar-powered building systems, particularly requested by NGOs operating across Afghanistan Kabul's vulnerable communities.</w:t>
      </w:r>
    </w:p>
    <w:p>
      <w:pPr>
        <w:pStyle w:val="FirstParagraph"/>
      </w:pPr>
      <w:r>
        <w:t xml:space="preserve">Our sales team achieved a 79% close rate on proposals presented to clients in Kabul, significantly above the industry average of 65%. This success stems from our architects' deep local knowledge – including fluency in Dari and Pashto for client negotiations – and our established relationships with key stakeholders like the Kabul Municipal Council.</w:t>
      </w:r>
    </w:p>
    <w:bookmarkEnd w:id="22"/>
    <w:bookmarkStart w:id="23" w:name="X5a7fdacae415a7c2cbbc3fab80e058646622fa3"/>
    <w:p>
      <w:pPr>
        <w:pStyle w:val="Heading2"/>
      </w:pPr>
      <w:r>
        <w:t xml:space="preserve">IV. Client Success Stories: Afghanistan Kabul Projects</w:t>
      </w:r>
    </w:p>
    <w:p>
      <w:pPr>
        <w:pStyle w:val="FirstParagraph"/>
      </w:pPr>
      <w:r>
        <w:rPr>
          <w:bCs/>
          <w:b/>
        </w:rPr>
        <w:t xml:space="preserve">Project: "Kabul City Center Phase 2" (Commercial)</w:t>
      </w:r>
      <w:r>
        <w:br/>
      </w:r>
      <w:r>
        <w:t xml:space="preserve">Client: Afghan Development Consortium</w:t>
      </w:r>
      <w:r>
        <w:br/>
      </w:r>
      <w:r>
        <w:t xml:space="preserve">Value: $1.2M</w:t>
      </w:r>
      <w:r>
        <w:br/>
      </w:r>
      <w:r>
        <w:t xml:space="preserve">Outcome: Our team designed a mixed-use complex integrating traditional Afghan courtyard layouts with modern commercial spaces. The architect's sensitivity to Kabul's urban fabric ensured community buy-in, directly contributing to the project securing permits in record time (47 days vs. industry average 90+ days).</w:t>
      </w:r>
    </w:p>
    <w:p>
      <w:pPr>
        <w:pStyle w:val="BodyText"/>
      </w:pPr>
      <w:r>
        <w:rPr>
          <w:bCs/>
          <w:b/>
        </w:rPr>
        <w:t xml:space="preserve">Project: "Green Schools Initiative" (Public)</w:t>
      </w:r>
      <w:r>
        <w:br/>
      </w:r>
      <w:r>
        <w:t xml:space="preserve">Client: UNICEF Afghanistan</w:t>
      </w:r>
      <w:r>
        <w:br/>
      </w:r>
      <w:r>
        <w:t xml:space="preserve">Value: $850,000</w:t>
      </w:r>
      <w:r>
        <w:br/>
      </w:r>
      <w:r>
        <w:t xml:space="preserve">Outcome: The architect developed contextually appropriate school designs using locally sourced materials. Critically, the sales process included cultural workshops for our design team on Pashtun and Tajik educational traditions – a key factor in winning this high-visibility government partnership.</w:t>
      </w:r>
    </w:p>
    <w:bookmarkEnd w:id="23"/>
    <w:bookmarkStart w:id="24" w:name="X10adc31563fea362409491988666c3307946a83"/>
    <w:p>
      <w:pPr>
        <w:pStyle w:val="Heading2"/>
      </w:pPr>
      <w:r>
        <w:t xml:space="preserve">V. Strategic Challenges &amp; Adaptations in Afghanistan Kabul</w:t>
      </w:r>
    </w:p>
    <w:p>
      <w:pPr>
        <w:pStyle w:val="FirstParagraph"/>
      </w:pPr>
      <w:r>
        <w:t xml:space="preserve">Operating as an architect firm within Afghanistan Kabul demands constant adaptation. Key challenges we've addressed include:</w:t>
      </w:r>
    </w:p>
    <w:p>
      <w:pPr>
        <w:numPr>
          <w:ilvl w:val="0"/>
          <w:numId w:val="1002"/>
        </w:numPr>
        <w:pStyle w:val="Compact"/>
      </w:pPr>
      <w:r>
        <w:rPr>
          <w:iCs/>
          <w:i/>
        </w:rPr>
        <w:t xml:space="preserve">Supply Chain Disruptions:</w:t>
      </w:r>
      <w:r>
        <w:t xml:space="preserve"> </w:t>
      </w:r>
      <w:r>
        <w:t xml:space="preserve">Partnering with local brick manufacturers in Chaharbagh to ensure materials for Kabul projects were delivered on schedule, reducing delays by 35%.</w:t>
      </w:r>
    </w:p>
    <w:p>
      <w:pPr>
        <w:numPr>
          <w:ilvl w:val="0"/>
          <w:numId w:val="1002"/>
        </w:numPr>
        <w:pStyle w:val="Compact"/>
      </w:pPr>
      <w:r>
        <w:rPr>
          <w:iCs/>
          <w:i/>
        </w:rPr>
        <w:t xml:space="preserve">Cultural Sensitivity Requirements:</w:t>
      </w:r>
      <w:r>
        <w:t xml:space="preserve"> </w:t>
      </w:r>
      <w:r>
        <w:t xml:space="preserve">Implementing mandatory "cultural immersion" training for all architects working on Kabul projects, covering everything from gender-segregated workspaces to religious considerations in site planning.</w:t>
      </w:r>
    </w:p>
    <w:p>
      <w:pPr>
        <w:numPr>
          <w:ilvl w:val="0"/>
          <w:numId w:val="1002"/>
        </w:numPr>
        <w:pStyle w:val="Compact"/>
      </w:pPr>
      <w:r>
        <w:rPr>
          <w:iCs/>
          <w:i/>
        </w:rPr>
        <w:t xml:space="preserve">Security Protocols:</w:t>
      </w:r>
      <w:r>
        <w:t xml:space="preserve"> </w:t>
      </w:r>
      <w:r>
        <w:t xml:space="preserve">Developing a secure mobile office solution (using encrypted apps accessible via limited Kabul internet) allowing our architect team to conduct client meetings remotely when necessary, increasing project accessibility by 40%.</w:t>
      </w:r>
    </w:p>
    <w:bookmarkEnd w:id="24"/>
    <w:bookmarkStart w:id="25" w:name="Xa152950c6b96e1d586efef4a7285730b335db3b"/>
    <w:p>
      <w:pPr>
        <w:pStyle w:val="Heading2"/>
      </w:pPr>
      <w:r>
        <w:t xml:space="preserve">VI. Future Outlook: Sales Strategy for Kabul</w:t>
      </w:r>
    </w:p>
    <w:p>
      <w:pPr>
        <w:pStyle w:val="FirstParagraph"/>
      </w:pPr>
      <w:r>
        <w:t xml:space="preserve">Looking ahead, we project a 15-20% growth in architectural service sales for Afghanistan Kabul during Q4 2023 based on ongoing negotiations. Our strategy focuses on three pillars:</w:t>
      </w:r>
    </w:p>
    <w:p>
      <w:pPr>
        <w:numPr>
          <w:ilvl w:val="0"/>
          <w:numId w:val="1003"/>
        </w:numPr>
        <w:pStyle w:val="Compact"/>
      </w:pPr>
      <w:r>
        <w:rPr>
          <w:bCs/>
          <w:b/>
        </w:rPr>
        <w:t xml:space="preserve">Niche Specialization:</w:t>
      </w:r>
      <w:r>
        <w:t xml:space="preserve"> </w:t>
      </w:r>
      <w:r>
        <w:t xml:space="preserve">Expanding our "Heritage Conservation" service line to address Kabul's urgent need for restoring historic sites like the Royal Palace and Sherpur Castle, directly responding to government priorities.</w:t>
      </w:r>
    </w:p>
    <w:p>
      <w:pPr>
        <w:numPr>
          <w:ilvl w:val="0"/>
          <w:numId w:val="1003"/>
        </w:numPr>
        <w:pStyle w:val="Compact"/>
      </w:pPr>
      <w:r>
        <w:rPr>
          <w:bCs/>
          <w:b/>
        </w:rPr>
        <w:t xml:space="preserve">Local Partnership Development:</w:t>
      </w:r>
      <w:r>
        <w:t xml:space="preserve"> </w:t>
      </w:r>
      <w:r>
        <w:t xml:space="preserve">Forming joint ventures with established Kabul construction firms (e.g., Mawlawi Construction) to strengthen our market access while sharing local knowledge.</w:t>
      </w:r>
    </w:p>
    <w:p>
      <w:pPr>
        <w:numPr>
          <w:ilvl w:val="0"/>
          <w:numId w:val="1003"/>
        </w:numPr>
        <w:pStyle w:val="Compact"/>
      </w:pPr>
      <w:r>
        <w:rPr>
          <w:bCs/>
          <w:b/>
        </w:rPr>
        <w:t xml:space="preserve">Digital Sales Enablement:</w:t>
      </w:r>
      <w:r>
        <w:t xml:space="preserve"> </w:t>
      </w:r>
      <w:r>
        <w:t xml:space="preserve">Launching a Kabul-specific project showcase platform using low-bandwidth mobile technology to reach clients across the city's varying connectivity landscape.</w:t>
      </w:r>
    </w:p>
    <w:bookmarkEnd w:id="25"/>
    <w:bookmarkStart w:id="26" w:name="vii.-conclusion"/>
    <w:p>
      <w:pPr>
        <w:pStyle w:val="Heading2"/>
      </w:pPr>
      <w:r>
        <w:t xml:space="preserve">VII. Conclusion</w:t>
      </w:r>
    </w:p>
    <w:p>
      <w:pPr>
        <w:pStyle w:val="FirstParagraph"/>
      </w:pPr>
      <w:r>
        <w:t xml:space="preserve">The sales report for architectural services in Afghanistan Kabul confirms this remains a market of significant opportunity, demanding both professional excellence and deep cultural intelligence from every architect engaged in the work. Our team's 20% quarterly growth rate demonstrates that when architects understand Kabul's unique challenges – from monsoon-season construction delays to complex community negotiation dynamics – they can deliver exceptional results. As the only firm with dedicated Dari-speaking sales architects fully embedded in Kabul, we are positioned to capture an even greater share of this vital market. The demand for professional</w:t>
      </w:r>
      <w:r>
        <w:t xml:space="preserve"> </w:t>
      </w:r>
      <w:r>
        <w:rPr>
          <w:iCs/>
          <w:i/>
        </w:rPr>
        <w:t xml:space="preserve">architect</w:t>
      </w:r>
      <w:r>
        <w:t xml:space="preserve"> </w:t>
      </w:r>
      <w:r>
        <w:t xml:space="preserve">services across Afghanistan Kabul isn't just strong – it's essential for the city's future development and resilience.</w:t>
      </w:r>
    </w:p>
    <w:p>
      <w:pPr>
        <w:pStyle w:val="BodyText"/>
      </w:pPr>
      <w:r>
        <w:rPr>
          <w:bCs/>
          <w:b/>
        </w:rPr>
        <w:t xml:space="preserve">Prepared By:</w:t>
      </w:r>
      <w:r>
        <w:t xml:space="preserve"> </w:t>
      </w:r>
      <w:r>
        <w:t xml:space="preserve">Global Architecture Solutions Group - Kabul Operations Team</w:t>
      </w:r>
      <w:r>
        <w:br/>
      </w:r>
      <w:r>
        <w:rPr>
          <w:bCs/>
          <w:b/>
        </w:rPr>
        <w:t xml:space="preserve">Contact:</w:t>
      </w:r>
      <w:r>
        <w:t xml:space="preserve"> </w:t>
      </w:r>
      <w:r>
        <w:t xml:space="preserve">Kabul.sales@globalarchitecture.af | +93 700 123 456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Architectural Services in Afghanistan Kabul</dc:title>
  <dc:creator/>
  <cp:keywords/>
  <dcterms:created xsi:type="dcterms:W3CDTF">2026-07-20T23:29:38Z</dcterms:created>
  <dcterms:modified xsi:type="dcterms:W3CDTF">2026-07-20T23:29:38Z</dcterms:modified>
</cp:coreProperties>
</file>

<file path=docProps/custom.xml><?xml version="1.0" encoding="utf-8"?>
<Properties xmlns="http://schemas.openxmlformats.org/officeDocument/2006/custom-properties" xmlns:vt="http://schemas.openxmlformats.org/officeDocument/2006/docPropsVTypes"/>
</file>