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30" w:name="X2ab428212d8be51c03b7e4085934f0b95514d35"/>
    <w:p>
      <w:pPr>
        <w:pStyle w:val="Heading1"/>
      </w:pPr>
      <w:r>
        <w:t xml:space="preserve">Sales Report: Architectural Business Development in Argentina Córdoba - Q3 2023</w:t>
      </w:r>
    </w:p>
    <w:p>
      <w:pPr>
        <w:pStyle w:val="FirstParagraph"/>
      </w:pPr>
      <w:r>
        <w:rPr>
          <w:bCs/>
          <w:b/>
        </w:rPr>
        <w:t xml:space="preserve">Prepared For:</w:t>
      </w:r>
      <w:r>
        <w:t xml:space="preserve"> </w:t>
      </w:r>
      <w:r>
        <w:t xml:space="preserve">Executive Leadership, Cordobese Architecture Partners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architectural services firm across Argentina Córdoba during the third quarter of 2023. The report confirms significant growth in project acquisitions and client engagement, driven by strategic market positioning and deep understanding of regional construction dynamics. As a premier Architect practice in Córdoba, we secured 17 new commissions valued at AR$14.8 million (approximately USD $165,000), representing a 22% quarter-over-quarter increase in sales volume. The success underscores Córdoba's emerging status as a pivotal hub for innovative architectural solutions within Argentina's evolving real estate landscape.</w:t>
      </w:r>
    </w:p>
    <w:bookmarkEnd w:id="20"/>
    <w:bookmarkStart w:id="21" w:name="X78e1b80287fc40f588e43946a4488d2e90b90f3"/>
    <w:p>
      <w:pPr>
        <w:pStyle w:val="Heading2"/>
      </w:pPr>
      <w:r>
        <w:t xml:space="preserve">II. Market Context: Argentina Córdoba's Architectural Landscape</w:t>
      </w:r>
    </w:p>
    <w:p>
      <w:pPr>
        <w:pStyle w:val="FirstParagraph"/>
      </w:pPr>
      <w:r>
        <w:t xml:space="preserve">Córdoba, Argentina’s second-largest metropolitan area and economic engine of the central region, has experienced unprecedented construction activity since 2021. The city's strategic position as a transportation nexus, coupled with its growing university population and industrial expansion (notably in automotive manufacturing), has fueled demand for specialized architectural services. This Sales Report highlights how our firm capitalized on Córdoba’s unique market drivers:</w:t>
      </w:r>
    </w:p>
    <w:p>
      <w:pPr>
        <w:numPr>
          <w:ilvl w:val="0"/>
          <w:numId w:val="1001"/>
        </w:numPr>
        <w:pStyle w:val="Compact"/>
      </w:pPr>
      <w:r>
        <w:rPr>
          <w:bCs/>
          <w:b/>
        </w:rPr>
        <w:t xml:space="preserve">Residential Boom:</w:t>
      </w:r>
      <w:r>
        <w:t xml:space="preserve"> </w:t>
      </w:r>
      <w:r>
        <w:t xml:space="preserve">42% of new commissions stem from high-end residential developments in suburban zones like Villa Allende and La Cumbre</w:t>
      </w:r>
    </w:p>
    <w:p>
      <w:pPr>
        <w:numPr>
          <w:ilvl w:val="0"/>
          <w:numId w:val="1001"/>
        </w:numPr>
        <w:pStyle w:val="Compact"/>
      </w:pPr>
      <w:r>
        <w:rPr>
          <w:bCs/>
          <w:b/>
        </w:rPr>
        <w:t xml:space="preserve">Sustainable Infrastructure:</w:t>
      </w:r>
      <w:r>
        <w:t xml:space="preserve"> </w:t>
      </w:r>
      <w:r>
        <w:t xml:space="preserve">31% of projects involve LEED-certified commercial buildings responding to Córdoba’s new Green Building Ordinance (Law 10,245)</w:t>
      </w:r>
    </w:p>
    <w:p>
      <w:pPr>
        <w:numPr>
          <w:ilvl w:val="0"/>
          <w:numId w:val="1001"/>
        </w:numPr>
        <w:pStyle w:val="Compact"/>
      </w:pPr>
      <w:r>
        <w:rPr>
          <w:bCs/>
          <w:b/>
        </w:rPr>
        <w:t xml:space="preserve">Tourism-Driven Design:</w:t>
      </w:r>
      <w:r>
        <w:t xml:space="preserve"> </w:t>
      </w:r>
      <w:r>
        <w:t xml:space="preserve">27% of sales secured through hospitality projects catering to the city's growing tourism sector (38% YoY increase in visitors)</w:t>
      </w:r>
    </w:p>
    <w:bookmarkEnd w:id="21"/>
    <w:bookmarkStart w:id="22" w:name="iii.-sales-performance-breakdown"/>
    <w:p>
      <w:pPr>
        <w:pStyle w:val="Heading2"/>
      </w:pPr>
      <w:r>
        <w:t xml:space="preserve">III. Sales Performance Breakdown</w:t>
      </w:r>
    </w:p>
    <w:p>
      <w:pPr>
        <w:pStyle w:val="FirstParagraph"/>
      </w:pPr>
      <w:r>
        <w:t xml:space="preserve">The following table illustrates our Q3 2023 performance against key metrics across Argentina Córdoba:</w:t>
      </w:r>
    </w:p>
    <w:p>
      <w:pPr>
        <w:pStyle w:val="BodyText"/>
      </w:pPr>
      <w:r>
        <w:t xml:space="preserve">Project Type</w:t>
      </w:r>
    </w:p>
    <w:p>
      <w:pPr>
        <w:pStyle w:val="BodyText"/>
      </w:pPr>
      <w:r>
        <w:t xml:space="preserve">Number of Projects</w:t>
      </w:r>
    </w:p>
    <w:p>
      <w:pPr>
        <w:pStyle w:val="BodyText"/>
      </w:pPr>
      <w:r>
        <w:t xml:space="preserve">Total Value (AR$)</w:t>
      </w:r>
    </w:p>
    <w:p>
      <w:pPr>
        <w:pStyle w:val="BodyText"/>
      </w:pPr>
      <w:r>
        <w:t xml:space="preserve">% of Total Sales</w:t>
      </w:r>
    </w:p>
    <w:p>
      <w:pPr>
        <w:pStyle w:val="BodyText"/>
      </w:pPr>
      <w:r>
        <w:t xml:space="preserve">Key Clients in Córdoba</w:t>
      </w:r>
    </w:p>
    <w:p>
      <w:pPr>
        <w:pStyle w:val="BodyText"/>
      </w:pPr>
      <w:r>
        <w:t xml:space="preserve">Residential Luxury Condominiums</w:t>
      </w:r>
    </w:p>
    <w:p>
      <w:pPr>
        <w:pStyle w:val="BodyText"/>
      </w:pPr>
      <w:r>
        <w:t xml:space="preserve">7</w:t>
      </w:r>
    </w:p>
    <w:p>
      <w:pPr>
        <w:pStyle w:val="BodyText"/>
      </w:pPr>
      <w:r>
        <w:t xml:space="preserve">5,840,000</w:t>
      </w:r>
    </w:p>
    <w:p>
      <w:pPr>
        <w:pStyle w:val="BodyText"/>
      </w:pPr>
      <w:r>
        <w:t xml:space="preserve">39.5%</w:t>
      </w:r>
    </w:p>
    <w:p>
      <w:pPr>
        <w:pStyle w:val="BodyText"/>
      </w:pPr>
      <w:r>
        <w:t xml:space="preserve">Sociedad Inmobiliaria Córdoba, Grupo Río Seco</w:t>
      </w:r>
    </w:p>
    <w:p>
      <w:pPr>
        <w:pStyle w:val="BodyText"/>
      </w:pPr>
      <w:r>
        <w:t xml:space="preserve">Eco-Commercial Centers</w:t>
      </w:r>
    </w:p>
    <w:p>
      <w:pPr>
        <w:pStyle w:val="BodyText"/>
      </w:pPr>
      <w:r>
        <w:t xml:space="preserve">5</w:t>
      </w:r>
    </w:p>
    <w:p>
      <w:pPr>
        <w:pStyle w:val="BodyText"/>
      </w:pPr>
      <w:r>
        <w:t xml:space="preserve">4,720,000</w:t>
      </w:r>
    </w:p>
    <w:p>
      <w:pPr>
        <w:pStyle w:val="BodyText"/>
      </w:pPr>
      <w:r>
        <w:t xml:space="preserve">31.9%</w:t>
      </w:r>
    </w:p>
    <w:p>
      <w:pPr>
        <w:pStyle w:val="BodyText"/>
      </w:pPr>
      <w:r>
        <w:t xml:space="preserve">Córdoba Green Development Corp., Proyecto Solar S.A.</w:t>
      </w:r>
    </w:p>
    <w:p>
      <w:pPr>
        <w:pStyle w:val="BodyText"/>
      </w:pPr>
      <w:r>
        <w:t xml:space="preserve">Tourism &amp; Hospitality</w:t>
      </w:r>
    </w:p>
    <w:p>
      <w:pPr>
        <w:pStyle w:val="BodyText"/>
      </w:pPr>
      <w:r>
        <w:t xml:space="preserve">3</w:t>
      </w:r>
    </w:p>
    <w:p>
      <w:pPr>
        <w:pStyle w:val="BodyText"/>
      </w:pPr>
      <w:r>
        <w:t xml:space="preserve">2,865,000</w:t>
      </w:r>
    </w:p>
    <w:p>
      <w:pPr>
        <w:pStyle w:val="BodyText"/>
      </w:pPr>
      <w:r>
        <w:t xml:space="preserve">19.4%</w:t>
      </w:r>
    </w:p>
    <w:p>
      <w:pPr>
        <w:pStyle w:val="BodyText"/>
      </w:pPr>
      <w:r>
        <w:t xml:space="preserve">Boutique Hotel La Casona, Vía del Sol Resorts</w:t>
      </w:r>
    </w:p>
    <w:p>
      <w:pPr>
        <w:pStyle w:val="BodyText"/>
      </w:pPr>
      <w:r>
        <w:t xml:space="preserve">Public Infrastructure (Municipal)</w:t>
      </w:r>
    </w:p>
    <w:p>
      <w:pPr>
        <w:pStyle w:val="BodyText"/>
      </w:pPr>
      <w:r>
        <w:t xml:space="preserve">2</w:t>
      </w:r>
    </w:p>
    <w:p>
      <w:pPr>
        <w:pStyle w:val="BodyText"/>
      </w:pPr>
      <w:r>
        <w:t xml:space="preserve">1,375,000</w:t>
      </w:r>
    </w:p>
    <w:p>
      <w:pPr>
        <w:pStyle w:val="BodyText"/>
      </w:pPr>
      <w:r>
        <w:t xml:space="preserve">9.3%</w:t>
      </w:r>
    </w:p>
    <w:bookmarkEnd w:id="22"/>
    <w:bookmarkStart w:id="26" w:name="X5b0cd2595904f25e5b55bcb42639aa4a10f081d"/>
    <w:p>
      <w:pPr>
        <w:pStyle w:val="Heading2"/>
      </w:pPr>
      <w:r>
        <w:t xml:space="preserve">IV. Strategic Growth Drivers in Argentina Córdoba</w:t>
      </w:r>
    </w:p>
    <w:p>
      <w:pPr>
        <w:pStyle w:val="FirstParagraph"/>
      </w:pPr>
      <w:r>
        <w:t xml:space="preserve">The Architect practice's sales success in Córdoba directly correlates with three strategic initiatives:</w:t>
      </w:r>
    </w:p>
    <w:bookmarkStart w:id="23" w:name="a.-hyper-local-market-intelligence"/>
    <w:p>
      <w:pPr>
        <w:pStyle w:val="Heading3"/>
      </w:pPr>
      <w:r>
        <w:t xml:space="preserve">A. Hyper-Local Market Intelligence</w:t>
      </w:r>
    </w:p>
    <w:p>
      <w:pPr>
        <w:pStyle w:val="FirstParagraph"/>
      </w:pPr>
      <w:r>
        <w:t xml:space="preserve">Our team deployed dedicated field analysts to monitor Córdoba’s municipal permitting processes, identifying a 14% surge in residential construction permits (July-Sept 2023). This data directly informed our sales pitch for luxury condominium projects targeting the city's expanding upper-middle-income demographic – a segment we uniquely identified as underserved by existing Architect firms.</w:t>
      </w:r>
    </w:p>
    <w:bookmarkEnd w:id="23"/>
    <w:bookmarkStart w:id="24" w:name="b.-regulatory-navigation-expertise"/>
    <w:p>
      <w:pPr>
        <w:pStyle w:val="Heading3"/>
      </w:pPr>
      <w:r>
        <w:t xml:space="preserve">B. Regulatory Navigation Expertise</w:t>
      </w:r>
    </w:p>
    <w:p>
      <w:pPr>
        <w:pStyle w:val="FirstParagraph"/>
      </w:pPr>
      <w:r>
        <w:t xml:space="preserve">Argentina’s complex construction regulations present significant barriers to entry. Our Architect team secured 100% of municipal approvals for Q3 projects through proactive engagement with Córdoba's Building Code Compliance Office (Oficina de Normativa Arquitectónica). This capability became a decisive differentiator in client acquisition, particularly for the Vía del Sol Resorts project requiring rapid environmental permits.</w:t>
      </w:r>
    </w:p>
    <w:bookmarkEnd w:id="24"/>
    <w:bookmarkStart w:id="25" w:name="c.-sustainable-design-differentiation"/>
    <w:p>
      <w:pPr>
        <w:pStyle w:val="Heading3"/>
      </w:pPr>
      <w:r>
        <w:t xml:space="preserve">C. Sustainable Design Differentiation</w:t>
      </w:r>
    </w:p>
    <w:p>
      <w:pPr>
        <w:pStyle w:val="FirstParagraph"/>
      </w:pPr>
      <w:r>
        <w:t xml:space="preserve">As Córdoba implements its 2050 Climate Action Plan, our firm’s certification in Argentine Green Building Standards (Norma NQ-184) generated 68% of new leads. The Proyecto Solar S.A. commercial center – featuring solar-integrated facades and rainwater harvesting – became a flagship project demonstrating how sustainable architecture drives both environmental compliance and market appeal.</w:t>
      </w:r>
    </w:p>
    <w:bookmarkEnd w:id="25"/>
    <w:bookmarkEnd w:id="26"/>
    <w:bookmarkStart w:id="27" w:name="v.-challenges-mitigation-strategies"/>
    <w:p>
      <w:pPr>
        <w:pStyle w:val="Heading2"/>
      </w:pPr>
      <w:r>
        <w:t xml:space="preserve">V. Challenges &amp; Mitigation Strategies</w:t>
      </w:r>
    </w:p>
    <w:p>
      <w:pPr>
        <w:pStyle w:val="FirstParagraph"/>
      </w:pPr>
      <w:r>
        <w:t xml:space="preserve">Despite strong performance, our Sales Report identifies two critical challenges unique to Argentina Córdoba:</w:t>
      </w:r>
    </w:p>
    <w:p>
      <w:pPr>
        <w:numPr>
          <w:ilvl w:val="0"/>
          <w:numId w:val="1002"/>
        </w:numPr>
        <w:pStyle w:val="Compact"/>
      </w:pPr>
      <w:r>
        <w:rPr>
          <w:bCs/>
          <w:b/>
        </w:rPr>
        <w:t xml:space="preserve">Supply Chain Volatility:</w:t>
      </w:r>
      <w:r>
        <w:t xml:space="preserve"> </w:t>
      </w:r>
      <w:r>
        <w:t xml:space="preserve">45% of residential projects experienced material delivery delays due to national logistics disruptions. Mitigation: We established partnerships with Córdoba-based suppliers (e.g., Cerámica Cuyo) to reduce dependency on imported materials, cutting average lead times by 32%.</w:t>
      </w:r>
    </w:p>
    <w:p>
      <w:pPr>
        <w:numPr>
          <w:ilvl w:val="0"/>
          <w:numId w:val="1002"/>
        </w:numPr>
        <w:pStyle w:val="Compact"/>
      </w:pPr>
      <w:r>
        <w:rPr>
          <w:bCs/>
          <w:b/>
        </w:rPr>
        <w:t xml:space="preserve">Economic Sensitivity:</w:t>
      </w:r>
      <w:r>
        <w:t xml:space="preserve"> </w:t>
      </w:r>
      <w:r>
        <w:t xml:space="preserve">High inflation impacted client budgeting for luxury projects. Mitigation: Implemented phased payment structures and value-engineering workshops – resulting in 92% of contracted projects remaining on budget despite Argentina's economic climate.</w:t>
      </w:r>
    </w:p>
    <w:bookmarkEnd w:id="27"/>
    <w:bookmarkStart w:id="28" w:name="vi.-future-outlook-strategic-priorities"/>
    <w:p>
      <w:pPr>
        <w:pStyle w:val="Heading2"/>
      </w:pPr>
      <w:r>
        <w:t xml:space="preserve">VI. Future Outlook &amp; Strategic Priorities</w:t>
      </w:r>
    </w:p>
    <w:p>
      <w:pPr>
        <w:pStyle w:val="FirstParagraph"/>
      </w:pPr>
      <w:r>
        <w:t xml:space="preserve">Based on current market momentum, our Architect firm forecasts a 15-18% revenue increase for Q4 2023 in Argentina Córdoba. Key priorities include:</w:t>
      </w:r>
    </w:p>
    <w:p>
      <w:pPr>
        <w:numPr>
          <w:ilvl w:val="0"/>
          <w:numId w:val="1003"/>
        </w:numPr>
        <w:pStyle w:val="Compact"/>
      </w:pPr>
      <w:r>
        <w:rPr>
          <w:bCs/>
          <w:b/>
        </w:rPr>
        <w:t xml:space="preserve">Expanding Public Sector Engagement:</w:t>
      </w:r>
      <w:r>
        <w:t xml:space="preserve"> </w:t>
      </w:r>
      <w:r>
        <w:t xml:space="preserve">Targeting Córdoba’s $97 million municipal infrastructure renewal program (2024-2026), with focus on sustainable public libraries and community centers.</w:t>
      </w:r>
    </w:p>
    <w:p>
      <w:pPr>
        <w:numPr>
          <w:ilvl w:val="0"/>
          <w:numId w:val="1003"/>
        </w:numPr>
        <w:pStyle w:val="Compact"/>
      </w:pPr>
      <w:r>
        <w:rPr>
          <w:bCs/>
          <w:b/>
        </w:rPr>
        <w:t xml:space="preserve">University Collaboration:</w:t>
      </w:r>
      <w:r>
        <w:t xml:space="preserve"> </w:t>
      </w:r>
      <w:r>
        <w:t xml:space="preserve">Partnering with Universidad Nacional de Córdoba to develop student housing prototypes, addressing the city's 18% annual enrollment growth.</w:t>
      </w:r>
    </w:p>
    <w:p>
      <w:pPr>
        <w:numPr>
          <w:ilvl w:val="0"/>
          <w:numId w:val="1003"/>
        </w:numPr>
        <w:pStyle w:val="Compact"/>
      </w:pPr>
      <w:r>
        <w:rPr>
          <w:bCs/>
          <w:b/>
        </w:rPr>
        <w:t xml:space="preserve">Digital Sales Enablement:</w:t>
      </w:r>
      <w:r>
        <w:t xml:space="preserve"> </w:t>
      </w:r>
      <w:r>
        <w:t xml:space="preserve">Launching a Cordobese-specific virtual tour platform for residential projects to overcome client travel limitations in Argentina’s current economic environment.</w:t>
      </w:r>
    </w:p>
    <w:bookmarkEnd w:id="28"/>
    <w:bookmarkStart w:id="29" w:name="vii.-conclusion"/>
    <w:p>
      <w:pPr>
        <w:pStyle w:val="Heading2"/>
      </w:pPr>
      <w:r>
        <w:t xml:space="preserve">VII. Conclusion</w:t>
      </w:r>
    </w:p>
    <w:p>
      <w:pPr>
        <w:pStyle w:val="FirstParagraph"/>
      </w:pPr>
      <w:r>
        <w:t xml:space="preserve">This Sales Report unequivocally demonstrates that our Architect practice has established itself as a growth catalyst within Argentina Córdoba's construction ecosystem. The region’s rapid development cycle – coupled with our adaptive sales strategy focused on local regulatory expertise and sustainable design – has positioned us to capture market share from both traditional competitors and emerging entrants. As the only architectural firm in Córdoba certified for national green building standards, we are not merely responding to market demands but actively shaping the future of responsible development in Argentina’s central region. Our continued success in this vital market will directly contribute to our firm's long-term vision as a leader in South American architectural innovation.</w:t>
      </w:r>
    </w:p>
    <w:p>
      <w:pPr>
        <w:pStyle w:val="BodyText"/>
      </w:pPr>
      <w:r>
        <w:rPr>
          <w:bCs/>
          <w:b/>
        </w:rPr>
        <w:t xml:space="preserve">Prepared By:</w:t>
      </w:r>
      <w:r>
        <w:t xml:space="preserve"> </w:t>
      </w:r>
      <w:r>
        <w:t xml:space="preserve">María López, Director of Business Development</w:t>
      </w:r>
      <w:r>
        <w:br/>
      </w:r>
      <w:r>
        <w:rPr>
          <w:bCs/>
          <w:b/>
        </w:rPr>
        <w:t xml:space="preserve">Architectural Practice:</w:t>
      </w:r>
      <w:r>
        <w:t xml:space="preserve"> </w:t>
      </w:r>
      <w:r>
        <w:t xml:space="preserve">Innovar Arquitectos | Córdoba, Argentina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Performance in Argentina Córdoba</dc:title>
  <dc:creator/>
  <dc:language>en</dc:language>
  <cp:keywords/>
  <dcterms:created xsi:type="dcterms:W3CDTF">2026-07-23T09:09:11Z</dcterms:created>
  <dcterms:modified xsi:type="dcterms:W3CDTF">2026-07-23T09:09:11Z</dcterms:modified>
</cp:coreProperties>
</file>

<file path=docProps/custom.xml><?xml version="1.0" encoding="utf-8"?>
<Properties xmlns="http://schemas.openxmlformats.org/officeDocument/2006/custom-properties" xmlns:vt="http://schemas.openxmlformats.org/officeDocument/2006/docPropsVTypes"/>
</file>